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D7B" w:rsidRDefault="003233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პერინატალური რეგიონალიზაციის ანალიზი მზადდება საერთაშორისო პრაქტიკით მიღებული ეფექტუობის იდიკატორებით.</w:t>
      </w:r>
    </w:p>
    <w:p w:rsidR="00323341" w:rsidRDefault="003233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სტრუქტურული ინდიკატორები, რომლებიც თვალს ადევნებს დაწესებულების მატერიალურ ტექნიკურ ბაზას, ლაბორატორიულ და რადიოლოგიური კვლევების სიმძლავრეებს, სამედიცინო კადრის კვალიფიკაციას, რაოდენობას და ხელმისაწვდომობას.</w:t>
      </w:r>
    </w:p>
    <w:p w:rsidR="00502579" w:rsidRDefault="003233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პროცესის ინდიკატორი</w:t>
      </w:r>
    </w:p>
    <w:p w:rsidR="00000000" w:rsidRPr="00502579" w:rsidRDefault="000878EC" w:rsidP="00502579">
      <w:pPr>
        <w:numPr>
          <w:ilvl w:val="0"/>
          <w:numId w:val="1"/>
        </w:numPr>
        <w:rPr>
          <w:rFonts w:ascii="Sylfaen" w:hAnsi="Sylfaen"/>
        </w:rPr>
      </w:pPr>
      <w:r w:rsidRPr="00502579">
        <w:rPr>
          <w:rFonts w:ascii="Sylfaen" w:hAnsi="Sylfaen"/>
          <w:b/>
          <w:bCs/>
          <w:lang w:val="ka-GE"/>
        </w:rPr>
        <w:t>დონის</w:t>
      </w:r>
      <w:r w:rsidRPr="00502579">
        <w:rPr>
          <w:rFonts w:ascii="Sylfaen" w:hAnsi="Sylfaen"/>
          <w:b/>
          <w:bCs/>
          <w:lang w:val="ka-GE"/>
        </w:rPr>
        <w:t xml:space="preserve"> </w:t>
      </w:r>
      <w:r w:rsidRPr="00502579">
        <w:rPr>
          <w:rFonts w:ascii="Sylfaen" w:hAnsi="Sylfaen"/>
          <w:b/>
          <w:bCs/>
          <w:lang w:val="ka-GE"/>
        </w:rPr>
        <w:t>შესაბამისი</w:t>
      </w:r>
      <w:r w:rsidRPr="00502579">
        <w:rPr>
          <w:rFonts w:ascii="Sylfaen" w:hAnsi="Sylfaen"/>
          <w:b/>
          <w:bCs/>
          <w:lang w:val="ka-GE"/>
        </w:rPr>
        <w:t xml:space="preserve"> </w:t>
      </w:r>
      <w:r w:rsidRPr="00502579">
        <w:rPr>
          <w:rFonts w:ascii="Sylfaen" w:hAnsi="Sylfaen"/>
          <w:b/>
          <w:bCs/>
          <w:lang w:val="ka-GE"/>
        </w:rPr>
        <w:t>მიმართვიანობა</w:t>
      </w:r>
      <w:r w:rsidRPr="00502579">
        <w:rPr>
          <w:rFonts w:ascii="Sylfaen" w:hAnsi="Sylfaen"/>
          <w:b/>
          <w:bCs/>
          <w:lang w:val="ka-GE"/>
        </w:rPr>
        <w:t xml:space="preserve"> </w:t>
      </w:r>
      <w:r w:rsidRPr="00502579">
        <w:rPr>
          <w:rFonts w:ascii="Sylfaen" w:hAnsi="Sylfaen"/>
          <w:b/>
          <w:bCs/>
          <w:lang w:val="ka-GE"/>
        </w:rPr>
        <w:t>ყველა</w:t>
      </w:r>
      <w:r w:rsidRPr="00502579">
        <w:rPr>
          <w:rFonts w:ascii="Sylfaen" w:hAnsi="Sylfaen"/>
          <w:b/>
          <w:bCs/>
          <w:lang w:val="ka-GE"/>
        </w:rPr>
        <w:t xml:space="preserve"> </w:t>
      </w:r>
      <w:r w:rsidRPr="00502579">
        <w:rPr>
          <w:rFonts w:ascii="Sylfaen" w:hAnsi="Sylfaen"/>
          <w:b/>
          <w:bCs/>
          <w:lang w:val="ka-GE"/>
        </w:rPr>
        <w:t>დონეზე</w:t>
      </w:r>
      <w:r w:rsidR="00DE442D">
        <w:rPr>
          <w:rFonts w:ascii="Sylfaen" w:hAnsi="Sylfaen"/>
          <w:b/>
          <w:bCs/>
          <w:lang w:val="ka-GE"/>
        </w:rPr>
        <w:t xml:space="preserve"> ა9სწორი პაციენტი სწორ ადგილას)</w:t>
      </w:r>
    </w:p>
    <w:p w:rsidR="00000000" w:rsidRPr="00502579" w:rsidRDefault="000878EC" w:rsidP="00502579">
      <w:pPr>
        <w:numPr>
          <w:ilvl w:val="0"/>
          <w:numId w:val="1"/>
        </w:numPr>
        <w:rPr>
          <w:rFonts w:ascii="Sylfaen" w:hAnsi="Sylfaen"/>
        </w:rPr>
      </w:pPr>
      <w:r w:rsidRPr="00502579">
        <w:rPr>
          <w:rFonts w:ascii="Sylfaen" w:hAnsi="Sylfaen"/>
          <w:b/>
          <w:bCs/>
          <w:lang w:val="ka-GE"/>
        </w:rPr>
        <w:t>მშობიარობების</w:t>
      </w:r>
      <w:r w:rsidRPr="00502579">
        <w:rPr>
          <w:rFonts w:ascii="Sylfaen" w:hAnsi="Sylfaen"/>
          <w:b/>
          <w:bCs/>
          <w:lang w:val="ka-GE"/>
        </w:rPr>
        <w:t>/</w:t>
      </w:r>
      <w:r w:rsidRPr="00502579">
        <w:rPr>
          <w:rFonts w:ascii="Sylfaen" w:hAnsi="Sylfaen"/>
          <w:b/>
          <w:bCs/>
          <w:lang w:val="ka-GE"/>
        </w:rPr>
        <w:t>საკეისრო</w:t>
      </w:r>
      <w:r w:rsidRPr="00502579">
        <w:rPr>
          <w:rFonts w:ascii="Sylfaen" w:hAnsi="Sylfaen"/>
          <w:b/>
          <w:bCs/>
          <w:lang w:val="ka-GE"/>
        </w:rPr>
        <w:t xml:space="preserve"> </w:t>
      </w:r>
      <w:r w:rsidRPr="00502579">
        <w:rPr>
          <w:rFonts w:ascii="Sylfaen" w:hAnsi="Sylfaen"/>
          <w:b/>
          <w:bCs/>
          <w:lang w:val="ka-GE"/>
        </w:rPr>
        <w:t>კვეთების</w:t>
      </w:r>
      <w:r w:rsidRPr="00502579">
        <w:rPr>
          <w:rFonts w:ascii="Sylfaen" w:hAnsi="Sylfaen"/>
          <w:b/>
          <w:bCs/>
          <w:lang w:val="ka-GE"/>
        </w:rPr>
        <w:t xml:space="preserve"> </w:t>
      </w:r>
      <w:r w:rsidRPr="00502579">
        <w:rPr>
          <w:rFonts w:ascii="Sylfaen" w:hAnsi="Sylfaen"/>
          <w:b/>
          <w:bCs/>
          <w:lang w:val="ka-GE"/>
        </w:rPr>
        <w:t>საერთო</w:t>
      </w:r>
      <w:r w:rsidRPr="00502579">
        <w:rPr>
          <w:rFonts w:ascii="Sylfaen" w:hAnsi="Sylfaen"/>
          <w:b/>
          <w:bCs/>
          <w:lang w:val="ka-GE"/>
        </w:rPr>
        <w:t xml:space="preserve"> </w:t>
      </w:r>
      <w:r w:rsidRPr="00502579">
        <w:rPr>
          <w:rFonts w:ascii="Sylfaen" w:hAnsi="Sylfaen"/>
          <w:b/>
          <w:bCs/>
          <w:lang w:val="ka-GE"/>
        </w:rPr>
        <w:t>რაოდენობა</w:t>
      </w:r>
      <w:r w:rsidRPr="00502579">
        <w:rPr>
          <w:rFonts w:ascii="Sylfaen" w:hAnsi="Sylfaen"/>
          <w:b/>
          <w:bCs/>
          <w:lang w:val="ka-GE"/>
        </w:rPr>
        <w:t xml:space="preserve"> </w:t>
      </w:r>
      <w:r w:rsidRPr="00502579">
        <w:rPr>
          <w:rFonts w:ascii="Sylfaen" w:hAnsi="Sylfaen"/>
          <w:b/>
          <w:bCs/>
          <w:lang w:val="ka-GE"/>
        </w:rPr>
        <w:t>ყველა</w:t>
      </w:r>
      <w:r w:rsidRPr="00502579">
        <w:rPr>
          <w:rFonts w:ascii="Sylfaen" w:hAnsi="Sylfaen"/>
          <w:b/>
          <w:bCs/>
          <w:lang w:val="ka-GE"/>
        </w:rPr>
        <w:t xml:space="preserve"> </w:t>
      </w:r>
      <w:r w:rsidRPr="00502579">
        <w:rPr>
          <w:rFonts w:ascii="Sylfaen" w:hAnsi="Sylfaen"/>
          <w:b/>
          <w:bCs/>
          <w:lang w:val="ka-GE"/>
        </w:rPr>
        <w:t>დონეზე</w:t>
      </w:r>
      <w:r w:rsidR="00DE442D">
        <w:rPr>
          <w:rFonts w:ascii="Sylfaen" w:hAnsi="Sylfaen"/>
          <w:b/>
          <w:bCs/>
          <w:lang w:val="ka-GE"/>
        </w:rPr>
        <w:t xml:space="preserve"> ( შემცირდეს საკეისრო კვეთა)</w:t>
      </w:r>
    </w:p>
    <w:p w:rsidR="00000000" w:rsidRPr="00502579" w:rsidRDefault="000878EC" w:rsidP="00502579">
      <w:pPr>
        <w:numPr>
          <w:ilvl w:val="0"/>
          <w:numId w:val="1"/>
        </w:numPr>
        <w:rPr>
          <w:rFonts w:ascii="Sylfaen" w:hAnsi="Sylfaen"/>
        </w:rPr>
      </w:pPr>
      <w:r w:rsidRPr="00502579">
        <w:rPr>
          <w:rFonts w:ascii="Sylfaen" w:hAnsi="Sylfaen"/>
          <w:b/>
          <w:bCs/>
          <w:lang w:val="ka-GE"/>
        </w:rPr>
        <w:t>ნაადრევი</w:t>
      </w:r>
      <w:r w:rsidRPr="00502579">
        <w:rPr>
          <w:rFonts w:ascii="Sylfaen" w:hAnsi="Sylfaen"/>
          <w:b/>
          <w:bCs/>
          <w:lang w:val="ka-GE"/>
        </w:rPr>
        <w:t xml:space="preserve"> </w:t>
      </w:r>
      <w:r w:rsidRPr="00502579">
        <w:rPr>
          <w:rFonts w:ascii="Sylfaen" w:hAnsi="Sylfaen"/>
          <w:b/>
          <w:bCs/>
          <w:lang w:val="ka-GE"/>
        </w:rPr>
        <w:t>მშობიარ</w:t>
      </w:r>
      <w:r w:rsidRPr="00502579">
        <w:rPr>
          <w:rFonts w:ascii="Sylfaen" w:hAnsi="Sylfaen"/>
          <w:b/>
          <w:bCs/>
          <w:lang w:val="ka-GE"/>
        </w:rPr>
        <w:t>ობა</w:t>
      </w:r>
      <w:r w:rsidRPr="00502579">
        <w:rPr>
          <w:rFonts w:ascii="Sylfaen" w:hAnsi="Sylfaen"/>
          <w:b/>
          <w:bCs/>
          <w:lang w:val="ka-GE"/>
        </w:rPr>
        <w:t xml:space="preserve">  ( 22 0/7-33 6/7 </w:t>
      </w:r>
      <w:r w:rsidRPr="00502579">
        <w:rPr>
          <w:rFonts w:ascii="Sylfaen" w:hAnsi="Sylfaen"/>
          <w:b/>
          <w:bCs/>
          <w:lang w:val="ka-GE"/>
        </w:rPr>
        <w:t>კვირა</w:t>
      </w:r>
      <w:r w:rsidRPr="00502579">
        <w:rPr>
          <w:rFonts w:ascii="Sylfaen" w:hAnsi="Sylfaen"/>
          <w:b/>
          <w:bCs/>
          <w:lang w:val="ka-GE"/>
        </w:rPr>
        <w:t xml:space="preserve">) </w:t>
      </w:r>
      <w:r w:rsidRPr="00502579">
        <w:rPr>
          <w:rFonts w:ascii="Sylfaen" w:hAnsi="Sylfaen"/>
          <w:b/>
          <w:bCs/>
          <w:lang w:val="ka-GE"/>
        </w:rPr>
        <w:t>ყველა</w:t>
      </w:r>
      <w:r w:rsidRPr="00502579">
        <w:rPr>
          <w:rFonts w:ascii="Sylfaen" w:hAnsi="Sylfaen"/>
          <w:b/>
          <w:bCs/>
          <w:lang w:val="ka-GE"/>
        </w:rPr>
        <w:t xml:space="preserve"> </w:t>
      </w:r>
      <w:r w:rsidRPr="00502579">
        <w:rPr>
          <w:rFonts w:ascii="Sylfaen" w:hAnsi="Sylfaen"/>
          <w:b/>
          <w:bCs/>
          <w:lang w:val="ka-GE"/>
        </w:rPr>
        <w:t>დონეზე</w:t>
      </w:r>
      <w:r w:rsidR="00DE442D">
        <w:rPr>
          <w:rFonts w:ascii="Sylfaen" w:hAnsi="Sylfaen"/>
          <w:b/>
          <w:bCs/>
          <w:lang w:val="ka-GE"/>
        </w:rPr>
        <w:t xml:space="preserve"> (ორსულთა მეთვალყურეობის ხარისხს ზომავს)</w:t>
      </w:r>
    </w:p>
    <w:p w:rsidR="00000000" w:rsidRPr="00502579" w:rsidRDefault="000878EC" w:rsidP="00502579">
      <w:pPr>
        <w:numPr>
          <w:ilvl w:val="0"/>
          <w:numId w:val="1"/>
        </w:numPr>
        <w:rPr>
          <w:rFonts w:ascii="Sylfaen" w:hAnsi="Sylfaen"/>
        </w:rPr>
      </w:pPr>
      <w:r w:rsidRPr="00502579">
        <w:rPr>
          <w:rFonts w:ascii="Sylfaen" w:hAnsi="Sylfaen"/>
          <w:b/>
          <w:bCs/>
          <w:lang w:val="ka-GE"/>
        </w:rPr>
        <w:t>დედათა</w:t>
      </w:r>
      <w:r w:rsidRPr="00502579">
        <w:rPr>
          <w:rFonts w:ascii="Sylfaen" w:hAnsi="Sylfaen"/>
          <w:b/>
          <w:bCs/>
          <w:lang w:val="ka-GE"/>
        </w:rPr>
        <w:t xml:space="preserve"> </w:t>
      </w:r>
      <w:r w:rsidRPr="00502579">
        <w:rPr>
          <w:rFonts w:ascii="Sylfaen" w:hAnsi="Sylfaen"/>
          <w:b/>
          <w:bCs/>
          <w:lang w:val="ka-GE"/>
        </w:rPr>
        <w:t>და</w:t>
      </w:r>
      <w:r w:rsidRPr="00502579">
        <w:rPr>
          <w:rFonts w:ascii="Sylfaen" w:hAnsi="Sylfaen"/>
          <w:b/>
          <w:bCs/>
          <w:lang w:val="ka-GE"/>
        </w:rPr>
        <w:t xml:space="preserve"> </w:t>
      </w:r>
      <w:r w:rsidRPr="00502579">
        <w:rPr>
          <w:rFonts w:ascii="Sylfaen" w:hAnsi="Sylfaen"/>
          <w:b/>
          <w:bCs/>
          <w:lang w:val="ka-GE"/>
        </w:rPr>
        <w:t>ახალშობილთა</w:t>
      </w:r>
      <w:r w:rsidRPr="00502579">
        <w:rPr>
          <w:rFonts w:ascii="Sylfaen" w:hAnsi="Sylfaen"/>
          <w:b/>
          <w:bCs/>
          <w:lang w:val="ka-GE"/>
        </w:rPr>
        <w:t xml:space="preserve"> </w:t>
      </w:r>
      <w:r w:rsidRPr="00502579">
        <w:rPr>
          <w:rFonts w:ascii="Sylfaen" w:hAnsi="Sylfaen"/>
          <w:b/>
          <w:bCs/>
          <w:lang w:val="ka-GE"/>
        </w:rPr>
        <w:t>რეფერალის</w:t>
      </w:r>
      <w:r w:rsidRPr="00502579">
        <w:rPr>
          <w:rFonts w:ascii="Sylfaen" w:hAnsi="Sylfaen"/>
          <w:b/>
          <w:bCs/>
          <w:lang w:val="ka-GE"/>
        </w:rPr>
        <w:t xml:space="preserve"> </w:t>
      </w:r>
      <w:r w:rsidRPr="00502579">
        <w:rPr>
          <w:rFonts w:ascii="Sylfaen" w:hAnsi="Sylfaen"/>
          <w:b/>
          <w:bCs/>
          <w:lang w:val="ka-GE"/>
        </w:rPr>
        <w:t>საერთო</w:t>
      </w:r>
      <w:r w:rsidRPr="00502579">
        <w:rPr>
          <w:rFonts w:ascii="Sylfaen" w:hAnsi="Sylfaen"/>
          <w:b/>
          <w:bCs/>
          <w:lang w:val="ka-GE"/>
        </w:rPr>
        <w:t xml:space="preserve"> </w:t>
      </w:r>
      <w:r w:rsidRPr="00502579">
        <w:rPr>
          <w:rFonts w:ascii="Sylfaen" w:hAnsi="Sylfaen"/>
          <w:b/>
          <w:bCs/>
          <w:lang w:val="ka-GE"/>
        </w:rPr>
        <w:t>რაოდენობა</w:t>
      </w:r>
      <w:r w:rsidR="00DE442D">
        <w:rPr>
          <w:rFonts w:ascii="Sylfaen" w:hAnsi="Sylfaen"/>
          <w:b/>
          <w:bCs/>
          <w:lang w:val="ka-GE"/>
        </w:rPr>
        <w:t xml:space="preserve"> (დონის შესაბამისი სამედიცინო სერვისის ხარისხს ზომავს)</w:t>
      </w:r>
    </w:p>
    <w:p w:rsidR="00000000" w:rsidRPr="00502579" w:rsidRDefault="000878EC" w:rsidP="00502579">
      <w:pPr>
        <w:numPr>
          <w:ilvl w:val="0"/>
          <w:numId w:val="1"/>
        </w:numPr>
        <w:rPr>
          <w:rFonts w:ascii="Sylfaen" w:hAnsi="Sylfaen"/>
        </w:rPr>
      </w:pPr>
      <w:r w:rsidRPr="00502579">
        <w:rPr>
          <w:rFonts w:ascii="Sylfaen" w:hAnsi="Sylfaen"/>
          <w:b/>
          <w:bCs/>
          <w:lang w:val="ka-GE"/>
        </w:rPr>
        <w:t>ნეონატალური</w:t>
      </w:r>
      <w:r w:rsidRPr="00502579">
        <w:rPr>
          <w:rFonts w:ascii="Sylfaen" w:hAnsi="Sylfaen"/>
          <w:b/>
          <w:bCs/>
          <w:lang w:val="ka-GE"/>
        </w:rPr>
        <w:t xml:space="preserve"> </w:t>
      </w:r>
      <w:r w:rsidRPr="00502579">
        <w:rPr>
          <w:rFonts w:ascii="Sylfaen" w:hAnsi="Sylfaen"/>
          <w:b/>
          <w:bCs/>
          <w:lang w:val="ka-GE"/>
        </w:rPr>
        <w:t>ტრანსპორტრებ</w:t>
      </w:r>
      <w:r w:rsidRPr="00502579">
        <w:rPr>
          <w:rFonts w:ascii="Sylfaen" w:hAnsi="Sylfaen"/>
          <w:b/>
          <w:bCs/>
          <w:lang w:val="ka-GE"/>
        </w:rPr>
        <w:t>ის</w:t>
      </w:r>
      <w:r w:rsidRPr="00502579">
        <w:rPr>
          <w:rFonts w:ascii="Sylfaen" w:hAnsi="Sylfaen"/>
          <w:b/>
          <w:bCs/>
          <w:lang w:val="ka-GE"/>
        </w:rPr>
        <w:t xml:space="preserve"> </w:t>
      </w:r>
      <w:r w:rsidRPr="00502579">
        <w:rPr>
          <w:rFonts w:ascii="Sylfaen" w:hAnsi="Sylfaen"/>
          <w:b/>
          <w:bCs/>
          <w:lang w:val="ka-GE"/>
        </w:rPr>
        <w:t>ინდექსი</w:t>
      </w:r>
      <w:r w:rsidRPr="00502579">
        <w:rPr>
          <w:rFonts w:ascii="Sylfaen" w:hAnsi="Sylfaen"/>
          <w:b/>
          <w:bCs/>
          <w:lang w:val="ka-GE"/>
        </w:rPr>
        <w:t xml:space="preserve"> (</w:t>
      </w:r>
      <w:r w:rsidRPr="00502579">
        <w:rPr>
          <w:rFonts w:ascii="Sylfaen" w:hAnsi="Sylfaen"/>
          <w:b/>
          <w:bCs/>
          <w:lang w:val="ka-GE"/>
        </w:rPr>
        <w:t>ტრანსპორტირებულ</w:t>
      </w:r>
      <w:r w:rsidRPr="00502579">
        <w:rPr>
          <w:rFonts w:ascii="Sylfaen" w:hAnsi="Sylfaen"/>
          <w:b/>
          <w:bCs/>
          <w:lang w:val="ka-GE"/>
        </w:rPr>
        <w:t xml:space="preserve"> </w:t>
      </w:r>
      <w:r w:rsidRPr="00502579">
        <w:rPr>
          <w:rFonts w:ascii="Sylfaen" w:hAnsi="Sylfaen"/>
          <w:b/>
          <w:bCs/>
          <w:lang w:val="ka-GE"/>
        </w:rPr>
        <w:t>ახალშობილთა</w:t>
      </w:r>
      <w:r w:rsidRPr="00502579">
        <w:rPr>
          <w:rFonts w:ascii="Sylfaen" w:hAnsi="Sylfaen"/>
          <w:b/>
          <w:bCs/>
          <w:lang w:val="ka-GE"/>
        </w:rPr>
        <w:t xml:space="preserve"> </w:t>
      </w:r>
      <w:r w:rsidRPr="00502579">
        <w:rPr>
          <w:rFonts w:ascii="Sylfaen" w:hAnsi="Sylfaen"/>
          <w:b/>
          <w:bCs/>
          <w:lang w:val="ka-GE"/>
        </w:rPr>
        <w:t>რაოდენობა</w:t>
      </w:r>
      <w:r w:rsidRPr="00502579">
        <w:rPr>
          <w:rFonts w:ascii="Sylfaen" w:hAnsi="Sylfaen"/>
          <w:b/>
          <w:bCs/>
          <w:lang w:val="ka-GE"/>
        </w:rPr>
        <w:t xml:space="preserve">/100 </w:t>
      </w:r>
      <w:r w:rsidRPr="00502579">
        <w:rPr>
          <w:rFonts w:ascii="Sylfaen" w:hAnsi="Sylfaen"/>
          <w:b/>
          <w:bCs/>
          <w:lang w:val="ka-GE"/>
        </w:rPr>
        <w:t>ცოცხალშობილზე</w:t>
      </w:r>
      <w:r w:rsidR="00DE442D">
        <w:rPr>
          <w:rFonts w:ascii="Sylfaen" w:hAnsi="Sylfaen"/>
          <w:b/>
          <w:bCs/>
          <w:lang w:val="ka-GE"/>
        </w:rPr>
        <w:t xml:space="preserve"> (ნორმა 3,5 რეფერალის ზომვა)</w:t>
      </w:r>
    </w:p>
    <w:p w:rsidR="00000000" w:rsidRPr="00502579" w:rsidRDefault="000878EC" w:rsidP="00502579">
      <w:pPr>
        <w:numPr>
          <w:ilvl w:val="0"/>
          <w:numId w:val="1"/>
        </w:numPr>
        <w:rPr>
          <w:rFonts w:ascii="Sylfaen" w:hAnsi="Sylfaen"/>
        </w:rPr>
      </w:pPr>
      <w:r w:rsidRPr="00502579">
        <w:rPr>
          <w:rFonts w:ascii="Sylfaen" w:hAnsi="Sylfaen"/>
          <w:b/>
          <w:bCs/>
          <w:lang w:val="ka-GE"/>
        </w:rPr>
        <w:t>რეფერირებულ</w:t>
      </w:r>
      <w:r w:rsidRPr="00502579">
        <w:rPr>
          <w:rFonts w:ascii="Sylfaen" w:hAnsi="Sylfaen"/>
          <w:b/>
          <w:bCs/>
          <w:lang w:val="ka-GE"/>
        </w:rPr>
        <w:t xml:space="preserve"> </w:t>
      </w:r>
      <w:r w:rsidRPr="00502579">
        <w:rPr>
          <w:rFonts w:ascii="Sylfaen" w:hAnsi="Sylfaen"/>
          <w:b/>
          <w:bCs/>
          <w:lang w:val="ka-GE"/>
        </w:rPr>
        <w:t>ახალშობილთა</w:t>
      </w:r>
      <w:r w:rsidRPr="00502579">
        <w:rPr>
          <w:rFonts w:ascii="Sylfaen" w:hAnsi="Sylfaen"/>
          <w:b/>
          <w:bCs/>
          <w:lang w:val="ka-GE"/>
        </w:rPr>
        <w:t xml:space="preserve"> </w:t>
      </w:r>
      <w:r w:rsidRPr="00502579">
        <w:rPr>
          <w:rFonts w:ascii="Sylfaen" w:hAnsi="Sylfaen"/>
          <w:b/>
          <w:bCs/>
          <w:lang w:val="ka-GE"/>
        </w:rPr>
        <w:t>რაოდენობა</w:t>
      </w:r>
      <w:r w:rsidRPr="00502579">
        <w:rPr>
          <w:rFonts w:ascii="Sylfaen" w:hAnsi="Sylfaen"/>
          <w:b/>
          <w:bCs/>
          <w:lang w:val="ka-GE"/>
        </w:rPr>
        <w:t xml:space="preserve"> ( </w:t>
      </w:r>
      <w:r w:rsidRPr="00502579">
        <w:rPr>
          <w:rFonts w:ascii="Sylfaen" w:hAnsi="Sylfaen"/>
          <w:b/>
          <w:bCs/>
          <w:lang w:val="ka-GE"/>
        </w:rPr>
        <w:t>შიდა</w:t>
      </w:r>
      <w:r w:rsidRPr="00502579">
        <w:rPr>
          <w:rFonts w:ascii="Sylfaen" w:hAnsi="Sylfaen"/>
          <w:b/>
          <w:bCs/>
          <w:lang w:val="ka-GE"/>
        </w:rPr>
        <w:t xml:space="preserve"> </w:t>
      </w:r>
      <w:r w:rsidRPr="00502579">
        <w:rPr>
          <w:rFonts w:ascii="Sylfaen" w:hAnsi="Sylfaen"/>
          <w:b/>
          <w:bCs/>
          <w:lang w:val="ka-GE"/>
        </w:rPr>
        <w:t>და</w:t>
      </w:r>
      <w:r w:rsidRPr="00502579">
        <w:rPr>
          <w:rFonts w:ascii="Sylfaen" w:hAnsi="Sylfaen"/>
          <w:b/>
          <w:bCs/>
          <w:lang w:val="ka-GE"/>
        </w:rPr>
        <w:t xml:space="preserve"> </w:t>
      </w:r>
      <w:r w:rsidRPr="00502579">
        <w:rPr>
          <w:rFonts w:ascii="Sylfaen" w:hAnsi="Sylfaen"/>
          <w:b/>
          <w:bCs/>
          <w:lang w:val="ka-GE"/>
        </w:rPr>
        <w:t>გარე</w:t>
      </w:r>
      <w:r w:rsidRPr="00502579">
        <w:rPr>
          <w:rFonts w:ascii="Sylfaen" w:hAnsi="Sylfaen"/>
          <w:b/>
          <w:bCs/>
          <w:lang w:val="ka-GE"/>
        </w:rPr>
        <w:t xml:space="preserve"> </w:t>
      </w:r>
      <w:r w:rsidRPr="00502579">
        <w:rPr>
          <w:rFonts w:ascii="Sylfaen" w:hAnsi="Sylfaen"/>
          <w:b/>
          <w:bCs/>
          <w:lang w:val="ka-GE"/>
        </w:rPr>
        <w:t>რეფერალი</w:t>
      </w:r>
      <w:r w:rsidRPr="00502579">
        <w:rPr>
          <w:rFonts w:ascii="Sylfaen" w:hAnsi="Sylfaen"/>
          <w:b/>
          <w:bCs/>
          <w:lang w:val="ka-GE"/>
        </w:rPr>
        <w:t>)</w:t>
      </w:r>
    </w:p>
    <w:p w:rsidR="00000000" w:rsidRPr="00502579" w:rsidRDefault="000878EC" w:rsidP="00502579">
      <w:pPr>
        <w:numPr>
          <w:ilvl w:val="0"/>
          <w:numId w:val="1"/>
        </w:numPr>
        <w:rPr>
          <w:rFonts w:ascii="Sylfaen" w:hAnsi="Sylfaen"/>
        </w:rPr>
      </w:pPr>
      <w:r w:rsidRPr="00502579">
        <w:rPr>
          <w:rFonts w:ascii="Sylfaen" w:hAnsi="Sylfaen"/>
          <w:b/>
          <w:bCs/>
          <w:lang w:val="ka-GE"/>
        </w:rPr>
        <w:t>დროულ</w:t>
      </w:r>
      <w:r w:rsidRPr="00502579">
        <w:rPr>
          <w:rFonts w:ascii="Sylfaen" w:hAnsi="Sylfaen"/>
          <w:b/>
          <w:bCs/>
          <w:lang w:val="ka-GE"/>
        </w:rPr>
        <w:t xml:space="preserve"> (2500</w:t>
      </w:r>
      <w:r w:rsidRPr="00502579">
        <w:rPr>
          <w:rFonts w:ascii="Sylfaen" w:hAnsi="Sylfaen"/>
          <w:b/>
          <w:bCs/>
          <w:lang w:val="ka-GE"/>
        </w:rPr>
        <w:t>გრ</w:t>
      </w:r>
      <w:r w:rsidRPr="00502579">
        <w:rPr>
          <w:rFonts w:ascii="Sylfaen" w:hAnsi="Sylfaen"/>
          <w:b/>
          <w:bCs/>
          <w:lang w:val="ka-GE"/>
        </w:rPr>
        <w:t>-</w:t>
      </w:r>
      <w:r w:rsidRPr="00502579">
        <w:rPr>
          <w:rFonts w:ascii="Sylfaen" w:hAnsi="Sylfaen"/>
          <w:b/>
          <w:bCs/>
          <w:lang w:val="ka-GE"/>
        </w:rPr>
        <w:t>ზე</w:t>
      </w:r>
      <w:r w:rsidRPr="00502579">
        <w:rPr>
          <w:rFonts w:ascii="Sylfaen" w:hAnsi="Sylfaen"/>
          <w:b/>
          <w:bCs/>
          <w:lang w:val="ka-GE"/>
        </w:rPr>
        <w:t xml:space="preserve"> </w:t>
      </w:r>
      <w:r w:rsidRPr="00502579">
        <w:rPr>
          <w:rFonts w:ascii="Sylfaen" w:hAnsi="Sylfaen"/>
          <w:b/>
          <w:bCs/>
          <w:lang w:val="ka-GE"/>
        </w:rPr>
        <w:t>მეტი</w:t>
      </w:r>
      <w:r w:rsidRPr="00502579">
        <w:rPr>
          <w:rFonts w:ascii="Sylfaen" w:hAnsi="Sylfaen"/>
          <w:b/>
          <w:bCs/>
          <w:lang w:val="ka-GE"/>
        </w:rPr>
        <w:t xml:space="preserve"> </w:t>
      </w:r>
      <w:r w:rsidRPr="00502579">
        <w:rPr>
          <w:rFonts w:ascii="Sylfaen" w:hAnsi="Sylfaen"/>
          <w:b/>
          <w:bCs/>
          <w:lang w:val="ka-GE"/>
        </w:rPr>
        <w:t>წონის</w:t>
      </w:r>
      <w:r w:rsidRPr="00502579">
        <w:rPr>
          <w:rFonts w:ascii="Sylfaen" w:hAnsi="Sylfaen"/>
          <w:b/>
          <w:bCs/>
          <w:lang w:val="ka-GE"/>
        </w:rPr>
        <w:t xml:space="preserve">) </w:t>
      </w:r>
      <w:r w:rsidRPr="00502579">
        <w:rPr>
          <w:rFonts w:ascii="Sylfaen" w:hAnsi="Sylfaen"/>
          <w:b/>
          <w:bCs/>
          <w:lang w:val="ka-GE"/>
        </w:rPr>
        <w:t>ახალშობილთა</w:t>
      </w:r>
      <w:r w:rsidRPr="00502579">
        <w:rPr>
          <w:rFonts w:ascii="Sylfaen" w:hAnsi="Sylfaen"/>
          <w:b/>
          <w:bCs/>
          <w:lang w:val="ka-GE"/>
        </w:rPr>
        <w:t xml:space="preserve"> </w:t>
      </w:r>
      <w:r w:rsidRPr="00502579">
        <w:rPr>
          <w:rFonts w:ascii="Sylfaen" w:hAnsi="Sylfaen"/>
          <w:b/>
          <w:bCs/>
          <w:lang w:val="ka-GE"/>
        </w:rPr>
        <w:t>რეფერალი</w:t>
      </w:r>
      <w:r w:rsidR="00DE442D">
        <w:rPr>
          <w:rFonts w:ascii="Sylfaen" w:hAnsi="Sylfaen"/>
          <w:b/>
          <w:bCs/>
          <w:lang w:val="ka-GE"/>
        </w:rPr>
        <w:t>(პერინატალური სერვისის ზარისხს ზომავ ანტენატალურს და სტაციონალურს)</w:t>
      </w:r>
    </w:p>
    <w:p w:rsidR="00502579" w:rsidRPr="00DE442D" w:rsidRDefault="00502579" w:rsidP="0050257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502579">
        <w:rPr>
          <w:rFonts w:ascii="Sylfaen" w:hAnsi="Sylfaen" w:cs="Sylfaen"/>
          <w:b/>
          <w:bCs/>
          <w:lang w:val="ka-GE"/>
        </w:rPr>
        <w:t>დღეანაკლ</w:t>
      </w:r>
      <w:r w:rsidRPr="00502579">
        <w:rPr>
          <w:rFonts w:ascii="Sylfaen" w:hAnsi="Sylfaen"/>
          <w:b/>
          <w:bCs/>
          <w:lang w:val="ka-GE"/>
        </w:rPr>
        <w:t xml:space="preserve"> ახალშობილთა რაოდენობა და მათი მკურნალობის გამოსავალ</w:t>
      </w:r>
      <w:r w:rsidR="00DE442D">
        <w:rPr>
          <w:rFonts w:ascii="Sylfaen" w:hAnsi="Sylfaen"/>
          <w:b/>
          <w:bCs/>
          <w:lang w:val="ka-GE"/>
        </w:rPr>
        <w:t xml:space="preserve"> ( ძუძუთი კვების გამოყენების გარეშე, დღენაკლის მკურნალობა ლეტალობით მთავრდება, რადგან არ აქვს ფერმენტი და ენზიმი ფორმულის მონელებისთვის);</w:t>
      </w:r>
    </w:p>
    <w:p w:rsidR="00000000" w:rsidRPr="00DE442D" w:rsidRDefault="000878EC" w:rsidP="00DE442D">
      <w:pPr>
        <w:pStyle w:val="ListParagraph"/>
        <w:numPr>
          <w:ilvl w:val="0"/>
          <w:numId w:val="1"/>
        </w:numPr>
        <w:rPr>
          <w:rFonts w:ascii="Sylfaen" w:hAnsi="Sylfaen"/>
        </w:rPr>
      </w:pPr>
      <w:r w:rsidRPr="00DE442D">
        <w:rPr>
          <w:rFonts w:ascii="Sylfaen" w:hAnsi="Sylfaen"/>
          <w:b/>
          <w:bCs/>
          <w:lang w:val="ka-GE"/>
        </w:rPr>
        <w:t>მძიმე</w:t>
      </w:r>
      <w:r w:rsidRPr="00DE442D">
        <w:rPr>
          <w:rFonts w:ascii="Sylfaen" w:hAnsi="Sylfaen"/>
          <w:b/>
          <w:bCs/>
          <w:lang w:val="ka-GE"/>
        </w:rPr>
        <w:t xml:space="preserve"> </w:t>
      </w:r>
      <w:r w:rsidRPr="00DE442D">
        <w:rPr>
          <w:rFonts w:ascii="Sylfaen" w:hAnsi="Sylfaen"/>
          <w:b/>
          <w:bCs/>
          <w:lang w:val="ka-GE"/>
        </w:rPr>
        <w:t>თანდაყოლილი</w:t>
      </w:r>
      <w:r w:rsidRPr="00DE442D">
        <w:rPr>
          <w:rFonts w:ascii="Sylfaen" w:hAnsi="Sylfaen"/>
          <w:b/>
          <w:bCs/>
          <w:lang w:val="ka-GE"/>
        </w:rPr>
        <w:t xml:space="preserve"> </w:t>
      </w:r>
      <w:r w:rsidRPr="00DE442D">
        <w:rPr>
          <w:rFonts w:ascii="Sylfaen" w:hAnsi="Sylfaen"/>
          <w:b/>
          <w:bCs/>
          <w:lang w:val="ka-GE"/>
        </w:rPr>
        <w:t>ანომალიები</w:t>
      </w:r>
    </w:p>
    <w:p w:rsidR="00000000" w:rsidRPr="00DE442D" w:rsidRDefault="000878EC" w:rsidP="00DE442D">
      <w:pPr>
        <w:pStyle w:val="ListParagraph"/>
        <w:numPr>
          <w:ilvl w:val="0"/>
          <w:numId w:val="1"/>
        </w:numPr>
        <w:rPr>
          <w:rFonts w:ascii="Sylfaen" w:hAnsi="Sylfaen"/>
        </w:rPr>
      </w:pPr>
      <w:r w:rsidRPr="00DE442D">
        <w:rPr>
          <w:rFonts w:ascii="Sylfaen" w:hAnsi="Sylfaen"/>
          <w:b/>
          <w:bCs/>
          <w:lang w:val="ka-GE"/>
        </w:rPr>
        <w:t>ლეტალობა</w:t>
      </w:r>
      <w:r w:rsidRPr="00DE442D">
        <w:rPr>
          <w:rFonts w:ascii="Sylfaen" w:hAnsi="Sylfaen"/>
          <w:b/>
          <w:bCs/>
          <w:lang w:val="ka-GE"/>
        </w:rPr>
        <w:t xml:space="preserve"> </w:t>
      </w:r>
      <w:r w:rsidRPr="00DE442D">
        <w:rPr>
          <w:rFonts w:ascii="Sylfaen" w:hAnsi="Sylfaen"/>
          <w:b/>
          <w:bCs/>
          <w:lang w:val="ka-GE"/>
        </w:rPr>
        <w:t>სიცოცხლის</w:t>
      </w:r>
      <w:r w:rsidRPr="00DE442D">
        <w:rPr>
          <w:rFonts w:ascii="Sylfaen" w:hAnsi="Sylfaen"/>
          <w:b/>
          <w:bCs/>
          <w:lang w:val="ka-GE"/>
        </w:rPr>
        <w:t xml:space="preserve"> </w:t>
      </w:r>
      <w:r w:rsidRPr="00DE442D">
        <w:rPr>
          <w:rFonts w:ascii="Sylfaen" w:hAnsi="Sylfaen"/>
          <w:b/>
          <w:bCs/>
          <w:lang w:val="ka-GE"/>
        </w:rPr>
        <w:t>პირველ</w:t>
      </w:r>
      <w:r w:rsidRPr="00DE442D">
        <w:rPr>
          <w:rFonts w:ascii="Sylfaen" w:hAnsi="Sylfaen"/>
          <w:b/>
          <w:bCs/>
          <w:lang w:val="ka-GE"/>
        </w:rPr>
        <w:t xml:space="preserve"> 12 </w:t>
      </w:r>
      <w:r w:rsidRPr="00DE442D">
        <w:rPr>
          <w:rFonts w:ascii="Sylfaen" w:hAnsi="Sylfaen"/>
          <w:b/>
          <w:bCs/>
          <w:lang w:val="ka-GE"/>
        </w:rPr>
        <w:t>სთ</w:t>
      </w:r>
      <w:r w:rsidRPr="00DE442D">
        <w:rPr>
          <w:rFonts w:ascii="Sylfaen" w:hAnsi="Sylfaen"/>
          <w:b/>
          <w:bCs/>
          <w:lang w:val="ka-GE"/>
        </w:rPr>
        <w:t>-</w:t>
      </w:r>
      <w:r w:rsidRPr="00DE442D">
        <w:rPr>
          <w:rFonts w:ascii="Sylfaen" w:hAnsi="Sylfaen"/>
          <w:b/>
          <w:bCs/>
          <w:lang w:val="ka-GE"/>
        </w:rPr>
        <w:t>ში</w:t>
      </w:r>
    </w:p>
    <w:p w:rsidR="00000000" w:rsidRPr="00DE442D" w:rsidRDefault="000878EC" w:rsidP="00DE442D">
      <w:pPr>
        <w:pStyle w:val="ListParagraph"/>
        <w:numPr>
          <w:ilvl w:val="0"/>
          <w:numId w:val="1"/>
        </w:numPr>
        <w:rPr>
          <w:rFonts w:ascii="Sylfaen" w:hAnsi="Sylfaen"/>
        </w:rPr>
      </w:pPr>
      <w:r w:rsidRPr="00DE442D">
        <w:rPr>
          <w:rFonts w:ascii="Sylfaen" w:hAnsi="Sylfaen"/>
          <w:b/>
          <w:bCs/>
          <w:lang w:val="ka-GE"/>
        </w:rPr>
        <w:t xml:space="preserve"> </w:t>
      </w:r>
      <w:r w:rsidRPr="00DE442D">
        <w:rPr>
          <w:rFonts w:ascii="Sylfaen" w:hAnsi="Sylfaen"/>
          <w:b/>
          <w:bCs/>
          <w:lang w:val="ka-GE"/>
        </w:rPr>
        <w:t>სხვა</w:t>
      </w:r>
      <w:r w:rsidRPr="00DE442D">
        <w:rPr>
          <w:rFonts w:ascii="Sylfaen" w:hAnsi="Sylfaen"/>
          <w:b/>
          <w:bCs/>
          <w:lang w:val="ka-GE"/>
        </w:rPr>
        <w:t xml:space="preserve"> </w:t>
      </w:r>
      <w:r w:rsidRPr="00DE442D">
        <w:rPr>
          <w:rFonts w:ascii="Sylfaen" w:hAnsi="Sylfaen"/>
          <w:b/>
          <w:bCs/>
          <w:lang w:val="ka-GE"/>
        </w:rPr>
        <w:t>კლინიკაში</w:t>
      </w:r>
      <w:r w:rsidRPr="00DE442D">
        <w:rPr>
          <w:rFonts w:ascii="Sylfaen" w:hAnsi="Sylfaen"/>
          <w:b/>
          <w:bCs/>
          <w:lang w:val="ka-GE"/>
        </w:rPr>
        <w:t xml:space="preserve"> </w:t>
      </w:r>
      <w:r w:rsidRPr="00DE442D">
        <w:rPr>
          <w:rFonts w:ascii="Sylfaen" w:hAnsi="Sylfaen"/>
          <w:b/>
          <w:bCs/>
          <w:lang w:val="ka-GE"/>
        </w:rPr>
        <w:t>რეფერალი</w:t>
      </w:r>
      <w:r w:rsidRPr="00DE442D">
        <w:rPr>
          <w:rFonts w:ascii="Sylfaen" w:hAnsi="Sylfaen"/>
          <w:b/>
          <w:bCs/>
          <w:lang w:val="ka-GE"/>
        </w:rPr>
        <w:t xml:space="preserve"> </w:t>
      </w:r>
      <w:r w:rsidRPr="00DE442D">
        <w:rPr>
          <w:rFonts w:ascii="Sylfaen" w:hAnsi="Sylfaen"/>
          <w:b/>
          <w:bCs/>
          <w:lang w:val="ka-GE"/>
        </w:rPr>
        <w:t>სიცოცხლის</w:t>
      </w:r>
      <w:r w:rsidRPr="00DE442D">
        <w:rPr>
          <w:rFonts w:ascii="Sylfaen" w:hAnsi="Sylfaen"/>
          <w:b/>
          <w:bCs/>
          <w:lang w:val="ka-GE"/>
        </w:rPr>
        <w:t xml:space="preserve"> 24 </w:t>
      </w:r>
      <w:r w:rsidRPr="00DE442D">
        <w:rPr>
          <w:rFonts w:ascii="Sylfaen" w:hAnsi="Sylfaen"/>
          <w:b/>
          <w:bCs/>
          <w:lang w:val="ka-GE"/>
        </w:rPr>
        <w:t>ს</w:t>
      </w:r>
      <w:r w:rsidRPr="00DE442D">
        <w:rPr>
          <w:rFonts w:ascii="Sylfaen" w:hAnsi="Sylfaen"/>
          <w:b/>
          <w:bCs/>
          <w:lang w:val="ka-GE"/>
        </w:rPr>
        <w:t>თ</w:t>
      </w:r>
      <w:r w:rsidRPr="00DE442D">
        <w:rPr>
          <w:rFonts w:ascii="Sylfaen" w:hAnsi="Sylfaen"/>
          <w:b/>
          <w:bCs/>
          <w:lang w:val="ka-GE"/>
        </w:rPr>
        <w:t>-</w:t>
      </w:r>
      <w:r w:rsidRPr="00DE442D">
        <w:rPr>
          <w:rFonts w:ascii="Sylfaen" w:hAnsi="Sylfaen"/>
          <w:b/>
          <w:bCs/>
          <w:lang w:val="ka-GE"/>
        </w:rPr>
        <w:t>ში</w:t>
      </w:r>
    </w:p>
    <w:p w:rsidR="00000000" w:rsidRPr="00DE442D" w:rsidRDefault="000878EC" w:rsidP="00DE442D">
      <w:pPr>
        <w:pStyle w:val="ListParagraph"/>
        <w:numPr>
          <w:ilvl w:val="0"/>
          <w:numId w:val="1"/>
        </w:numPr>
        <w:rPr>
          <w:rFonts w:ascii="Sylfaen" w:hAnsi="Sylfaen"/>
        </w:rPr>
      </w:pPr>
      <w:r w:rsidRPr="00DE442D">
        <w:rPr>
          <w:rFonts w:ascii="Sylfaen" w:hAnsi="Sylfaen"/>
          <w:b/>
          <w:bCs/>
          <w:lang w:val="ka-GE"/>
        </w:rPr>
        <w:t>სიცოცხლის</w:t>
      </w:r>
      <w:r w:rsidRPr="00DE442D">
        <w:rPr>
          <w:rFonts w:ascii="Sylfaen" w:hAnsi="Sylfaen"/>
          <w:b/>
          <w:bCs/>
          <w:lang w:val="ka-GE"/>
        </w:rPr>
        <w:t xml:space="preserve"> 72 </w:t>
      </w:r>
      <w:r w:rsidRPr="00DE442D">
        <w:rPr>
          <w:rFonts w:ascii="Sylfaen" w:hAnsi="Sylfaen"/>
          <w:b/>
          <w:bCs/>
          <w:lang w:val="ka-GE"/>
        </w:rPr>
        <w:t>სთ</w:t>
      </w:r>
      <w:r w:rsidRPr="00DE442D">
        <w:rPr>
          <w:rFonts w:ascii="Sylfaen" w:hAnsi="Sylfaen"/>
          <w:b/>
          <w:bCs/>
          <w:lang w:val="ka-GE"/>
        </w:rPr>
        <w:t>-</w:t>
      </w:r>
      <w:r w:rsidRPr="00DE442D">
        <w:rPr>
          <w:rFonts w:ascii="Sylfaen" w:hAnsi="Sylfaen"/>
          <w:b/>
          <w:bCs/>
          <w:lang w:val="ka-GE"/>
        </w:rPr>
        <w:t>ის</w:t>
      </w:r>
      <w:r w:rsidRPr="00DE442D">
        <w:rPr>
          <w:rFonts w:ascii="Sylfaen" w:hAnsi="Sylfaen"/>
          <w:b/>
          <w:bCs/>
          <w:lang w:val="ka-GE"/>
        </w:rPr>
        <w:t xml:space="preserve"> </w:t>
      </w:r>
      <w:r w:rsidRPr="00DE442D">
        <w:rPr>
          <w:rFonts w:ascii="Sylfaen" w:hAnsi="Sylfaen"/>
          <w:b/>
          <w:bCs/>
          <w:lang w:val="ka-GE"/>
        </w:rPr>
        <w:t>შემდგომ</w:t>
      </w:r>
      <w:r w:rsidRPr="00DE442D">
        <w:rPr>
          <w:rFonts w:ascii="Sylfaen" w:hAnsi="Sylfaen"/>
          <w:b/>
          <w:bCs/>
          <w:lang w:val="ka-GE"/>
        </w:rPr>
        <w:t xml:space="preserve"> </w:t>
      </w:r>
      <w:r w:rsidRPr="00DE442D">
        <w:rPr>
          <w:rFonts w:ascii="Sylfaen" w:hAnsi="Sylfaen"/>
          <w:b/>
          <w:bCs/>
          <w:lang w:val="ka-GE"/>
        </w:rPr>
        <w:t>რეფერირებული</w:t>
      </w:r>
      <w:r w:rsidRPr="00DE442D">
        <w:rPr>
          <w:rFonts w:ascii="Sylfaen" w:hAnsi="Sylfaen"/>
          <w:b/>
          <w:bCs/>
          <w:lang w:val="ka-GE"/>
        </w:rPr>
        <w:t xml:space="preserve"> </w:t>
      </w:r>
      <w:r w:rsidRPr="00DE442D">
        <w:rPr>
          <w:rFonts w:ascii="Sylfaen" w:hAnsi="Sylfaen"/>
          <w:b/>
          <w:bCs/>
          <w:lang w:val="ka-GE"/>
        </w:rPr>
        <w:t>ახალშობილები</w:t>
      </w:r>
    </w:p>
    <w:p w:rsidR="00000000" w:rsidRPr="00DE442D" w:rsidRDefault="000878EC" w:rsidP="00DE442D">
      <w:pPr>
        <w:pStyle w:val="ListParagraph"/>
        <w:numPr>
          <w:ilvl w:val="0"/>
          <w:numId w:val="1"/>
        </w:numPr>
        <w:rPr>
          <w:rFonts w:ascii="Sylfaen" w:hAnsi="Sylfaen"/>
        </w:rPr>
      </w:pPr>
      <w:r w:rsidRPr="00DE442D">
        <w:rPr>
          <w:rFonts w:ascii="Sylfaen" w:hAnsi="Sylfaen"/>
          <w:b/>
          <w:bCs/>
          <w:lang w:val="ka-GE"/>
        </w:rPr>
        <w:t>დღენაკლული</w:t>
      </w:r>
      <w:r w:rsidRPr="00DE442D">
        <w:rPr>
          <w:rFonts w:ascii="Sylfaen" w:hAnsi="Sylfaen"/>
          <w:b/>
          <w:bCs/>
          <w:lang w:val="ka-GE"/>
        </w:rPr>
        <w:t xml:space="preserve"> </w:t>
      </w:r>
      <w:r w:rsidRPr="00DE442D">
        <w:rPr>
          <w:rFonts w:ascii="Sylfaen" w:hAnsi="Sylfaen"/>
          <w:b/>
          <w:bCs/>
          <w:lang w:val="ka-GE"/>
        </w:rPr>
        <w:t>ახალშობილები</w:t>
      </w:r>
      <w:r w:rsidRPr="00DE442D">
        <w:rPr>
          <w:rFonts w:ascii="Sylfaen" w:hAnsi="Sylfaen"/>
          <w:b/>
          <w:bCs/>
          <w:lang w:val="ka-GE"/>
        </w:rPr>
        <w:t xml:space="preserve"> (&lt;33 </w:t>
      </w:r>
      <w:r w:rsidRPr="00DE442D">
        <w:rPr>
          <w:rFonts w:ascii="Sylfaen" w:hAnsi="Sylfaen"/>
          <w:b/>
          <w:bCs/>
          <w:lang w:val="ka-GE"/>
        </w:rPr>
        <w:t>კვირა</w:t>
      </w:r>
      <w:r w:rsidRPr="00DE442D">
        <w:rPr>
          <w:rFonts w:ascii="Sylfaen" w:hAnsi="Sylfaen"/>
          <w:b/>
          <w:bCs/>
          <w:lang w:val="ka-GE"/>
        </w:rPr>
        <w:t xml:space="preserve"> </w:t>
      </w:r>
      <w:r w:rsidRPr="00DE442D">
        <w:rPr>
          <w:rFonts w:ascii="Sylfaen" w:hAnsi="Sylfaen"/>
          <w:b/>
          <w:bCs/>
          <w:lang w:val="ka-GE"/>
        </w:rPr>
        <w:t>და</w:t>
      </w:r>
      <w:r w:rsidRPr="00DE442D">
        <w:rPr>
          <w:rFonts w:ascii="Sylfaen" w:hAnsi="Sylfaen"/>
          <w:b/>
          <w:bCs/>
          <w:lang w:val="ka-GE"/>
        </w:rPr>
        <w:t>/</w:t>
      </w:r>
      <w:r w:rsidRPr="00DE442D">
        <w:rPr>
          <w:rFonts w:ascii="Sylfaen" w:hAnsi="Sylfaen"/>
          <w:b/>
          <w:bCs/>
          <w:lang w:val="ka-GE"/>
        </w:rPr>
        <w:t>ან</w:t>
      </w:r>
      <w:r w:rsidRPr="00DE442D">
        <w:rPr>
          <w:rFonts w:ascii="Sylfaen" w:hAnsi="Sylfaen"/>
          <w:b/>
          <w:bCs/>
          <w:lang w:val="ka-GE"/>
        </w:rPr>
        <w:t xml:space="preserve"> </w:t>
      </w:r>
      <w:r w:rsidRPr="00DE442D">
        <w:rPr>
          <w:rFonts w:ascii="Sylfaen" w:hAnsi="Sylfaen"/>
          <w:b/>
          <w:bCs/>
          <w:lang w:val="ka-GE"/>
        </w:rPr>
        <w:t>მასა</w:t>
      </w:r>
      <w:r w:rsidRPr="00DE442D">
        <w:rPr>
          <w:rFonts w:ascii="Sylfaen" w:hAnsi="Sylfaen"/>
          <w:b/>
          <w:bCs/>
          <w:lang w:val="ka-GE"/>
        </w:rPr>
        <w:t xml:space="preserve"> &lt;1500</w:t>
      </w:r>
      <w:r w:rsidRPr="00DE442D">
        <w:rPr>
          <w:rFonts w:ascii="Sylfaen" w:hAnsi="Sylfaen"/>
          <w:b/>
          <w:bCs/>
          <w:lang w:val="ka-GE"/>
        </w:rPr>
        <w:t>გ</w:t>
      </w:r>
      <w:r w:rsidRPr="00DE442D">
        <w:rPr>
          <w:rFonts w:ascii="Sylfaen" w:hAnsi="Sylfaen"/>
          <w:b/>
          <w:bCs/>
          <w:lang w:val="ka-GE"/>
        </w:rPr>
        <w:t xml:space="preserve">), </w:t>
      </w:r>
      <w:r w:rsidRPr="00DE442D">
        <w:rPr>
          <w:rFonts w:ascii="Sylfaen" w:hAnsi="Sylfaen"/>
          <w:b/>
          <w:bCs/>
          <w:lang w:val="ka-GE"/>
        </w:rPr>
        <w:t>რ</w:t>
      </w:r>
      <w:r w:rsidRPr="00DE442D">
        <w:rPr>
          <w:rFonts w:ascii="Sylfaen" w:hAnsi="Sylfaen"/>
          <w:b/>
          <w:bCs/>
          <w:lang w:val="ka-GE"/>
        </w:rPr>
        <w:t>ომელთა</w:t>
      </w:r>
      <w:r w:rsidRPr="00DE442D">
        <w:rPr>
          <w:rFonts w:ascii="Sylfaen" w:hAnsi="Sylfaen"/>
          <w:b/>
          <w:bCs/>
          <w:lang w:val="ka-GE"/>
        </w:rPr>
        <w:t xml:space="preserve"> </w:t>
      </w:r>
      <w:r w:rsidRPr="00DE442D">
        <w:rPr>
          <w:rFonts w:ascii="Sylfaen" w:hAnsi="Sylfaen"/>
          <w:b/>
          <w:bCs/>
          <w:lang w:val="ka-GE"/>
        </w:rPr>
        <w:t>ენტერალური</w:t>
      </w:r>
      <w:r w:rsidRPr="00DE442D">
        <w:rPr>
          <w:rFonts w:ascii="Sylfaen" w:hAnsi="Sylfaen"/>
          <w:b/>
          <w:bCs/>
          <w:lang w:val="ka-GE"/>
        </w:rPr>
        <w:t xml:space="preserve"> </w:t>
      </w:r>
      <w:r w:rsidRPr="00DE442D">
        <w:rPr>
          <w:rFonts w:ascii="Sylfaen" w:hAnsi="Sylfaen"/>
          <w:b/>
          <w:bCs/>
          <w:lang w:val="ka-GE"/>
        </w:rPr>
        <w:t>კვება</w:t>
      </w:r>
      <w:r w:rsidRPr="00DE442D">
        <w:rPr>
          <w:rFonts w:ascii="Sylfaen" w:hAnsi="Sylfaen"/>
          <w:b/>
          <w:bCs/>
          <w:lang w:val="ka-GE"/>
        </w:rPr>
        <w:t xml:space="preserve"> </w:t>
      </w:r>
      <w:r w:rsidRPr="00DE442D">
        <w:rPr>
          <w:rFonts w:ascii="Sylfaen" w:hAnsi="Sylfaen"/>
          <w:b/>
          <w:bCs/>
          <w:lang w:val="ka-GE"/>
        </w:rPr>
        <w:t>კლინიკიდან</w:t>
      </w:r>
      <w:r w:rsidRPr="00DE442D">
        <w:rPr>
          <w:rFonts w:ascii="Sylfaen" w:hAnsi="Sylfaen"/>
          <w:b/>
          <w:bCs/>
          <w:lang w:val="ka-GE"/>
        </w:rPr>
        <w:t xml:space="preserve"> </w:t>
      </w:r>
      <w:r w:rsidRPr="00DE442D">
        <w:rPr>
          <w:rFonts w:ascii="Sylfaen" w:hAnsi="Sylfaen"/>
          <w:b/>
          <w:bCs/>
          <w:lang w:val="ka-GE"/>
        </w:rPr>
        <w:t>გაწერისას</w:t>
      </w:r>
      <w:r w:rsidRPr="00DE442D">
        <w:rPr>
          <w:rFonts w:ascii="Sylfaen" w:hAnsi="Sylfaen"/>
          <w:b/>
          <w:bCs/>
          <w:lang w:val="ka-GE"/>
        </w:rPr>
        <w:t xml:space="preserve">  </w:t>
      </w:r>
      <w:r w:rsidRPr="00DE442D">
        <w:rPr>
          <w:rFonts w:ascii="Sylfaen" w:hAnsi="Sylfaen"/>
          <w:b/>
          <w:bCs/>
          <w:lang w:val="ka-GE"/>
        </w:rPr>
        <w:t>ხორციელდება</w:t>
      </w:r>
      <w:r w:rsidRPr="00DE442D">
        <w:rPr>
          <w:rFonts w:ascii="Sylfaen" w:hAnsi="Sylfaen"/>
          <w:b/>
          <w:bCs/>
          <w:lang w:val="ka-GE"/>
        </w:rPr>
        <w:t xml:space="preserve"> </w:t>
      </w:r>
      <w:r w:rsidRPr="00DE442D">
        <w:rPr>
          <w:rFonts w:ascii="Sylfaen" w:hAnsi="Sylfaen"/>
          <w:b/>
          <w:bCs/>
          <w:lang w:val="ka-GE"/>
        </w:rPr>
        <w:t>სრულად</w:t>
      </w:r>
      <w:r w:rsidRPr="00DE442D">
        <w:rPr>
          <w:rFonts w:ascii="Sylfaen" w:hAnsi="Sylfaen"/>
          <w:b/>
          <w:bCs/>
          <w:lang w:val="ka-GE"/>
        </w:rPr>
        <w:t xml:space="preserve"> </w:t>
      </w:r>
      <w:r w:rsidRPr="00DE442D">
        <w:rPr>
          <w:rFonts w:ascii="Sylfaen" w:hAnsi="Sylfaen"/>
          <w:b/>
          <w:bCs/>
          <w:lang w:val="ka-GE"/>
        </w:rPr>
        <w:t>ან</w:t>
      </w:r>
      <w:r w:rsidRPr="00DE442D">
        <w:rPr>
          <w:rFonts w:ascii="Sylfaen" w:hAnsi="Sylfaen"/>
          <w:b/>
          <w:bCs/>
          <w:lang w:val="ka-GE"/>
        </w:rPr>
        <w:t xml:space="preserve">  </w:t>
      </w:r>
      <w:r w:rsidRPr="00DE442D">
        <w:rPr>
          <w:rFonts w:ascii="Sylfaen" w:hAnsi="Sylfaen"/>
          <w:b/>
          <w:bCs/>
          <w:lang w:val="ka-GE"/>
        </w:rPr>
        <w:t>ნაწილობრივ</w:t>
      </w:r>
      <w:r w:rsidRPr="00DE442D">
        <w:rPr>
          <w:rFonts w:ascii="Sylfaen" w:hAnsi="Sylfaen"/>
          <w:b/>
          <w:bCs/>
          <w:lang w:val="ka-GE"/>
        </w:rPr>
        <w:t xml:space="preserve"> </w:t>
      </w:r>
      <w:r w:rsidRPr="00DE442D">
        <w:rPr>
          <w:rFonts w:ascii="Sylfaen" w:hAnsi="Sylfaen"/>
          <w:b/>
          <w:bCs/>
          <w:lang w:val="ka-GE"/>
        </w:rPr>
        <w:t>დედის</w:t>
      </w:r>
      <w:r w:rsidRPr="00DE442D">
        <w:rPr>
          <w:rFonts w:ascii="Sylfaen" w:hAnsi="Sylfaen"/>
          <w:b/>
          <w:bCs/>
          <w:lang w:val="ka-GE"/>
        </w:rPr>
        <w:t xml:space="preserve"> </w:t>
      </w:r>
      <w:r w:rsidRPr="00DE442D">
        <w:rPr>
          <w:rFonts w:ascii="Sylfaen" w:hAnsi="Sylfaen"/>
          <w:b/>
          <w:bCs/>
          <w:lang w:val="ka-GE"/>
        </w:rPr>
        <w:t>რძით</w:t>
      </w:r>
    </w:p>
    <w:p w:rsidR="00000000" w:rsidRPr="00DE442D" w:rsidRDefault="000878EC" w:rsidP="00DE442D">
      <w:pPr>
        <w:pStyle w:val="ListParagraph"/>
        <w:numPr>
          <w:ilvl w:val="0"/>
          <w:numId w:val="1"/>
        </w:numPr>
        <w:rPr>
          <w:rFonts w:ascii="Sylfaen" w:hAnsi="Sylfaen"/>
        </w:rPr>
      </w:pPr>
      <w:r w:rsidRPr="00DE442D">
        <w:rPr>
          <w:rFonts w:ascii="Sylfaen" w:hAnsi="Sylfaen"/>
          <w:b/>
          <w:bCs/>
          <w:lang w:val="ka-GE"/>
        </w:rPr>
        <w:t>იატროგენული</w:t>
      </w:r>
      <w:r w:rsidRPr="00DE442D">
        <w:rPr>
          <w:rFonts w:ascii="Sylfaen" w:hAnsi="Sylfaen"/>
          <w:b/>
          <w:bCs/>
          <w:lang w:val="ka-GE"/>
        </w:rPr>
        <w:t xml:space="preserve"> </w:t>
      </w:r>
      <w:r w:rsidRPr="00DE442D">
        <w:rPr>
          <w:rFonts w:ascii="Sylfaen" w:hAnsi="Sylfaen"/>
          <w:b/>
          <w:bCs/>
          <w:lang w:val="ka-GE"/>
        </w:rPr>
        <w:t>პნევმოთორაქსი</w:t>
      </w:r>
      <w:r w:rsidRPr="00DE442D">
        <w:rPr>
          <w:rFonts w:ascii="Sylfaen" w:hAnsi="Sylfaen"/>
          <w:b/>
          <w:bCs/>
          <w:lang w:val="ka-GE"/>
        </w:rPr>
        <w:t>?</w:t>
      </w:r>
    </w:p>
    <w:p w:rsidR="00000000" w:rsidRPr="00DE442D" w:rsidRDefault="000878EC" w:rsidP="00DE442D">
      <w:pPr>
        <w:pStyle w:val="ListParagraph"/>
        <w:numPr>
          <w:ilvl w:val="0"/>
          <w:numId w:val="1"/>
        </w:numPr>
        <w:rPr>
          <w:rFonts w:ascii="Sylfaen" w:hAnsi="Sylfaen"/>
        </w:rPr>
      </w:pPr>
      <w:r w:rsidRPr="00DE442D">
        <w:rPr>
          <w:rFonts w:ascii="Sylfaen" w:hAnsi="Sylfaen"/>
          <w:b/>
          <w:bCs/>
          <w:lang w:val="ka-GE"/>
        </w:rPr>
        <w:t>ნეონატალური</w:t>
      </w:r>
      <w:r w:rsidRPr="00DE442D">
        <w:rPr>
          <w:rFonts w:ascii="Sylfaen" w:hAnsi="Sylfaen"/>
          <w:b/>
          <w:bCs/>
          <w:lang w:val="ka-GE"/>
        </w:rPr>
        <w:t xml:space="preserve"> </w:t>
      </w:r>
      <w:r w:rsidRPr="00DE442D">
        <w:rPr>
          <w:rFonts w:ascii="Sylfaen" w:hAnsi="Sylfaen"/>
          <w:b/>
          <w:bCs/>
          <w:lang w:val="ka-GE"/>
        </w:rPr>
        <w:t>სიკვდილობა</w:t>
      </w:r>
      <w:r w:rsidRPr="00DE442D">
        <w:rPr>
          <w:rFonts w:ascii="Sylfaen" w:hAnsi="Sylfaen"/>
          <w:b/>
          <w:bCs/>
          <w:lang w:val="ka-GE"/>
        </w:rPr>
        <w:t xml:space="preserve"> </w:t>
      </w:r>
      <w:r w:rsidRPr="00DE442D">
        <w:rPr>
          <w:rFonts w:ascii="Sylfaen" w:hAnsi="Sylfaen"/>
          <w:b/>
          <w:bCs/>
          <w:lang w:val="ka-GE"/>
        </w:rPr>
        <w:t>ინტენსიური</w:t>
      </w:r>
      <w:r w:rsidRPr="00DE442D">
        <w:rPr>
          <w:rFonts w:ascii="Sylfaen" w:hAnsi="Sylfaen"/>
          <w:b/>
          <w:bCs/>
          <w:lang w:val="ka-GE"/>
        </w:rPr>
        <w:t xml:space="preserve"> </w:t>
      </w:r>
      <w:r w:rsidRPr="00DE442D">
        <w:rPr>
          <w:rFonts w:ascii="Sylfaen" w:hAnsi="Sylfaen"/>
          <w:b/>
          <w:bCs/>
          <w:lang w:val="ka-GE"/>
        </w:rPr>
        <w:t>თერაპიის</w:t>
      </w:r>
      <w:r w:rsidRPr="00DE442D">
        <w:rPr>
          <w:rFonts w:ascii="Sylfaen" w:hAnsi="Sylfaen"/>
          <w:b/>
          <w:bCs/>
          <w:lang w:val="ka-GE"/>
        </w:rPr>
        <w:t xml:space="preserve"> </w:t>
      </w:r>
      <w:r w:rsidRPr="00DE442D">
        <w:rPr>
          <w:rFonts w:ascii="Sylfaen" w:hAnsi="Sylfaen"/>
          <w:b/>
          <w:bCs/>
          <w:lang w:val="ka-GE"/>
        </w:rPr>
        <w:t>განყოფილებაში</w:t>
      </w:r>
    </w:p>
    <w:p w:rsidR="00000000" w:rsidRPr="00DE442D" w:rsidRDefault="000878EC" w:rsidP="00DE442D">
      <w:pPr>
        <w:pStyle w:val="ListParagraph"/>
        <w:numPr>
          <w:ilvl w:val="0"/>
          <w:numId w:val="1"/>
        </w:numPr>
        <w:rPr>
          <w:rFonts w:ascii="Sylfaen" w:hAnsi="Sylfaen"/>
        </w:rPr>
      </w:pPr>
      <w:r w:rsidRPr="00DE442D">
        <w:rPr>
          <w:rFonts w:ascii="Sylfaen" w:hAnsi="Sylfaen"/>
          <w:b/>
          <w:bCs/>
          <w:lang w:val="ka-GE"/>
        </w:rPr>
        <w:t>დღენაკლთა</w:t>
      </w:r>
      <w:r w:rsidRPr="00DE442D">
        <w:rPr>
          <w:rFonts w:ascii="Sylfaen" w:hAnsi="Sylfaen"/>
          <w:b/>
          <w:bCs/>
          <w:lang w:val="ka-GE"/>
        </w:rPr>
        <w:t xml:space="preserve"> </w:t>
      </w:r>
      <w:r w:rsidRPr="00DE442D">
        <w:rPr>
          <w:rFonts w:ascii="Sylfaen" w:hAnsi="Sylfaen"/>
          <w:b/>
          <w:bCs/>
          <w:lang w:val="ka-GE"/>
        </w:rPr>
        <w:t>რეტინოპათიის</w:t>
      </w:r>
      <w:r w:rsidRPr="00DE442D">
        <w:rPr>
          <w:rFonts w:ascii="Sylfaen" w:hAnsi="Sylfaen"/>
          <w:b/>
          <w:bCs/>
          <w:lang w:val="ka-GE"/>
        </w:rPr>
        <w:t xml:space="preserve"> </w:t>
      </w:r>
      <w:r w:rsidRPr="00DE442D">
        <w:rPr>
          <w:rFonts w:ascii="Sylfaen" w:hAnsi="Sylfaen"/>
          <w:b/>
          <w:bCs/>
          <w:lang w:val="ka-GE"/>
        </w:rPr>
        <w:t>პირველადი</w:t>
      </w:r>
      <w:r w:rsidRPr="00DE442D">
        <w:rPr>
          <w:rFonts w:ascii="Sylfaen" w:hAnsi="Sylfaen"/>
          <w:b/>
          <w:bCs/>
          <w:lang w:val="ka-GE"/>
        </w:rPr>
        <w:t xml:space="preserve"> </w:t>
      </w:r>
      <w:r w:rsidRPr="00DE442D">
        <w:rPr>
          <w:rFonts w:ascii="Sylfaen" w:hAnsi="Sylfaen"/>
          <w:b/>
          <w:bCs/>
          <w:lang w:val="ka-GE"/>
        </w:rPr>
        <w:t>სკრინინგის</w:t>
      </w:r>
      <w:r w:rsidRPr="00DE442D">
        <w:rPr>
          <w:rFonts w:ascii="Sylfaen" w:hAnsi="Sylfaen"/>
          <w:b/>
          <w:bCs/>
          <w:lang w:val="ka-GE"/>
        </w:rPr>
        <w:t xml:space="preserve"> </w:t>
      </w:r>
      <w:r w:rsidRPr="00DE442D">
        <w:rPr>
          <w:rFonts w:ascii="Sylfaen" w:hAnsi="Sylfaen"/>
          <w:b/>
          <w:bCs/>
          <w:lang w:val="ka-GE"/>
        </w:rPr>
        <w:t>დროული</w:t>
      </w:r>
      <w:r w:rsidRPr="00DE442D">
        <w:rPr>
          <w:rFonts w:ascii="Sylfaen" w:hAnsi="Sylfaen"/>
          <w:b/>
          <w:bCs/>
          <w:lang w:val="ka-GE"/>
        </w:rPr>
        <w:t xml:space="preserve"> </w:t>
      </w:r>
      <w:r w:rsidRPr="00DE442D">
        <w:rPr>
          <w:rFonts w:ascii="Sylfaen" w:hAnsi="Sylfaen"/>
          <w:b/>
          <w:bCs/>
          <w:lang w:val="ka-GE"/>
        </w:rPr>
        <w:t>ჩატარება</w:t>
      </w:r>
    </w:p>
    <w:p w:rsidR="00000000" w:rsidRPr="00DE442D" w:rsidRDefault="000878EC" w:rsidP="00DE442D">
      <w:pPr>
        <w:pStyle w:val="ListParagraph"/>
        <w:numPr>
          <w:ilvl w:val="0"/>
          <w:numId w:val="1"/>
        </w:numPr>
        <w:rPr>
          <w:rFonts w:ascii="Sylfaen" w:hAnsi="Sylfaen"/>
        </w:rPr>
      </w:pPr>
      <w:r w:rsidRPr="00DE442D">
        <w:rPr>
          <w:rFonts w:ascii="Sylfaen" w:hAnsi="Sylfaen"/>
          <w:b/>
          <w:bCs/>
          <w:lang w:val="ka-GE"/>
        </w:rPr>
        <w:t>ახალშობილები</w:t>
      </w:r>
      <w:r w:rsidRPr="00DE442D">
        <w:rPr>
          <w:rFonts w:ascii="Sylfaen" w:hAnsi="Sylfaen"/>
          <w:b/>
          <w:bCs/>
          <w:lang w:val="ka-GE"/>
        </w:rPr>
        <w:t xml:space="preserve">,  </w:t>
      </w:r>
      <w:r w:rsidRPr="00DE442D">
        <w:rPr>
          <w:rFonts w:ascii="Sylfaen" w:hAnsi="Sylfaen"/>
          <w:b/>
          <w:bCs/>
          <w:lang w:val="ka-GE"/>
        </w:rPr>
        <w:t>გესტაციური</w:t>
      </w:r>
      <w:r w:rsidRPr="00DE442D">
        <w:rPr>
          <w:rFonts w:ascii="Sylfaen" w:hAnsi="Sylfaen"/>
          <w:b/>
          <w:bCs/>
          <w:lang w:val="ka-GE"/>
        </w:rPr>
        <w:t xml:space="preserve"> </w:t>
      </w:r>
      <w:r w:rsidRPr="00DE442D">
        <w:rPr>
          <w:rFonts w:ascii="Sylfaen" w:hAnsi="Sylfaen"/>
          <w:b/>
          <w:bCs/>
          <w:lang w:val="ka-GE"/>
        </w:rPr>
        <w:t>ასაკი</w:t>
      </w:r>
      <w:r w:rsidRPr="00DE442D">
        <w:rPr>
          <w:rFonts w:ascii="Sylfaen" w:hAnsi="Sylfaen"/>
          <w:b/>
          <w:bCs/>
          <w:lang w:val="ka-GE"/>
        </w:rPr>
        <w:t xml:space="preserve"> 34-36 </w:t>
      </w:r>
      <w:r w:rsidRPr="00DE442D">
        <w:rPr>
          <w:rFonts w:ascii="Sylfaen" w:hAnsi="Sylfaen"/>
          <w:b/>
          <w:bCs/>
          <w:lang w:val="ka-GE"/>
        </w:rPr>
        <w:t>კვირა</w:t>
      </w:r>
      <w:r w:rsidRPr="00DE442D">
        <w:rPr>
          <w:rFonts w:ascii="Sylfaen" w:hAnsi="Sylfaen"/>
          <w:b/>
          <w:bCs/>
          <w:lang w:val="ka-GE"/>
        </w:rPr>
        <w:t xml:space="preserve">, </w:t>
      </w:r>
      <w:r w:rsidRPr="00DE442D">
        <w:rPr>
          <w:rFonts w:ascii="Sylfaen" w:hAnsi="Sylfaen"/>
          <w:b/>
          <w:bCs/>
          <w:lang w:val="ka-GE"/>
        </w:rPr>
        <w:t>რომლებიც</w:t>
      </w:r>
      <w:r w:rsidRPr="00DE442D">
        <w:rPr>
          <w:rFonts w:ascii="Sylfaen" w:hAnsi="Sylfaen"/>
          <w:b/>
          <w:bCs/>
          <w:lang w:val="ka-GE"/>
        </w:rPr>
        <w:t xml:space="preserve"> </w:t>
      </w:r>
      <w:r w:rsidRPr="00DE442D">
        <w:rPr>
          <w:rFonts w:ascii="Sylfaen" w:hAnsi="Sylfaen"/>
          <w:b/>
          <w:bCs/>
          <w:lang w:val="ka-GE"/>
        </w:rPr>
        <w:t>საჭიროებენ</w:t>
      </w:r>
      <w:r w:rsidRPr="00DE442D">
        <w:rPr>
          <w:rFonts w:ascii="Sylfaen" w:hAnsi="Sylfaen"/>
          <w:b/>
          <w:bCs/>
          <w:lang w:val="ka-GE"/>
        </w:rPr>
        <w:t xml:space="preserve">  </w:t>
      </w:r>
      <w:r w:rsidRPr="00DE442D">
        <w:rPr>
          <w:rFonts w:ascii="Sylfaen" w:hAnsi="Sylfaen"/>
          <w:b/>
          <w:bCs/>
          <w:lang w:val="ka-GE"/>
        </w:rPr>
        <w:t>ინტენსიურ</w:t>
      </w:r>
      <w:r w:rsidRPr="00DE442D">
        <w:rPr>
          <w:rFonts w:ascii="Sylfaen" w:hAnsi="Sylfaen"/>
          <w:b/>
          <w:bCs/>
          <w:lang w:val="ka-GE"/>
        </w:rPr>
        <w:t xml:space="preserve"> </w:t>
      </w:r>
      <w:r w:rsidRPr="00DE442D">
        <w:rPr>
          <w:rFonts w:ascii="Sylfaen" w:hAnsi="Sylfaen"/>
          <w:b/>
          <w:bCs/>
          <w:lang w:val="ka-GE"/>
        </w:rPr>
        <w:t>მოვლას</w:t>
      </w:r>
    </w:p>
    <w:p w:rsidR="00000000" w:rsidRPr="00DE442D" w:rsidRDefault="000878EC" w:rsidP="00DE442D">
      <w:pPr>
        <w:pStyle w:val="ListParagraph"/>
        <w:numPr>
          <w:ilvl w:val="0"/>
          <w:numId w:val="1"/>
        </w:numPr>
        <w:rPr>
          <w:rFonts w:ascii="Sylfaen" w:hAnsi="Sylfaen"/>
        </w:rPr>
      </w:pPr>
      <w:r w:rsidRPr="00DE442D">
        <w:rPr>
          <w:rFonts w:ascii="Sylfaen" w:hAnsi="Sylfaen"/>
          <w:b/>
          <w:bCs/>
          <w:lang w:val="ka-GE"/>
        </w:rPr>
        <w:t>ახალშობილები</w:t>
      </w:r>
      <w:r w:rsidRPr="00DE442D">
        <w:rPr>
          <w:rFonts w:ascii="Sylfaen" w:hAnsi="Sylfaen"/>
          <w:b/>
          <w:bCs/>
          <w:lang w:val="ka-GE"/>
        </w:rPr>
        <w:t xml:space="preserve">,  </w:t>
      </w:r>
      <w:r w:rsidRPr="00DE442D">
        <w:rPr>
          <w:rFonts w:ascii="Sylfaen" w:hAnsi="Sylfaen"/>
          <w:b/>
          <w:bCs/>
          <w:lang w:val="ka-GE"/>
        </w:rPr>
        <w:t>გესტაციური</w:t>
      </w:r>
      <w:r w:rsidRPr="00DE442D">
        <w:rPr>
          <w:rFonts w:ascii="Sylfaen" w:hAnsi="Sylfaen"/>
          <w:b/>
          <w:bCs/>
          <w:lang w:val="ka-GE"/>
        </w:rPr>
        <w:t xml:space="preserve"> </w:t>
      </w:r>
      <w:r w:rsidRPr="00DE442D">
        <w:rPr>
          <w:rFonts w:ascii="Sylfaen" w:hAnsi="Sylfaen"/>
          <w:b/>
          <w:bCs/>
          <w:lang w:val="ka-GE"/>
        </w:rPr>
        <w:t>ასაკით</w:t>
      </w:r>
      <w:r w:rsidRPr="00DE442D">
        <w:rPr>
          <w:rFonts w:ascii="Sylfaen" w:hAnsi="Sylfaen"/>
          <w:b/>
          <w:bCs/>
          <w:lang w:val="ka-GE"/>
        </w:rPr>
        <w:t xml:space="preserve"> ≥37 </w:t>
      </w:r>
      <w:r w:rsidRPr="00DE442D">
        <w:rPr>
          <w:rFonts w:ascii="Sylfaen" w:hAnsi="Sylfaen"/>
          <w:b/>
          <w:bCs/>
          <w:lang w:val="ka-GE"/>
        </w:rPr>
        <w:t>კვირა</w:t>
      </w:r>
      <w:r w:rsidRPr="00DE442D">
        <w:rPr>
          <w:rFonts w:ascii="Sylfaen" w:hAnsi="Sylfaen"/>
          <w:b/>
          <w:bCs/>
          <w:lang w:val="ka-GE"/>
        </w:rPr>
        <w:t xml:space="preserve">, </w:t>
      </w:r>
      <w:r w:rsidRPr="00DE442D">
        <w:rPr>
          <w:rFonts w:ascii="Sylfaen" w:hAnsi="Sylfaen"/>
          <w:b/>
          <w:bCs/>
          <w:lang w:val="ka-GE"/>
        </w:rPr>
        <w:t>რომლებიც</w:t>
      </w:r>
      <w:r w:rsidRPr="00DE442D">
        <w:rPr>
          <w:rFonts w:ascii="Sylfaen" w:hAnsi="Sylfaen"/>
          <w:b/>
          <w:bCs/>
          <w:lang w:val="ka-GE"/>
        </w:rPr>
        <w:t xml:space="preserve"> </w:t>
      </w:r>
      <w:r w:rsidRPr="00DE442D">
        <w:rPr>
          <w:rFonts w:ascii="Sylfaen" w:hAnsi="Sylfaen"/>
          <w:b/>
          <w:bCs/>
          <w:lang w:val="ka-GE"/>
        </w:rPr>
        <w:t>საჭიროებენ</w:t>
      </w:r>
      <w:r w:rsidRPr="00DE442D">
        <w:rPr>
          <w:rFonts w:ascii="Sylfaen" w:hAnsi="Sylfaen"/>
          <w:b/>
          <w:bCs/>
          <w:lang w:val="ka-GE"/>
        </w:rPr>
        <w:t xml:space="preserve"> </w:t>
      </w:r>
      <w:r w:rsidRPr="00DE442D">
        <w:rPr>
          <w:rFonts w:ascii="Sylfaen" w:hAnsi="Sylfaen"/>
          <w:b/>
          <w:bCs/>
          <w:lang w:val="ka-GE"/>
        </w:rPr>
        <w:t>ინტენსიურ</w:t>
      </w:r>
      <w:r w:rsidRPr="00DE442D">
        <w:rPr>
          <w:rFonts w:ascii="Sylfaen" w:hAnsi="Sylfaen"/>
          <w:b/>
          <w:bCs/>
          <w:lang w:val="ka-GE"/>
        </w:rPr>
        <w:t xml:space="preserve"> </w:t>
      </w:r>
      <w:r w:rsidRPr="00DE442D">
        <w:rPr>
          <w:rFonts w:ascii="Sylfaen" w:hAnsi="Sylfaen"/>
          <w:b/>
          <w:bCs/>
          <w:lang w:val="ka-GE"/>
        </w:rPr>
        <w:t>მოვლას</w:t>
      </w:r>
      <w:r w:rsidR="00DE442D">
        <w:rPr>
          <w:rFonts w:ascii="Sylfaen" w:hAnsi="Sylfaen"/>
          <w:b/>
          <w:bCs/>
          <w:lang w:val="ka-GE"/>
        </w:rPr>
        <w:t>;</w:t>
      </w:r>
    </w:p>
    <w:p w:rsidR="00000000" w:rsidRPr="00DE442D" w:rsidRDefault="000878EC" w:rsidP="00DE442D">
      <w:pPr>
        <w:pStyle w:val="ListParagraph"/>
        <w:numPr>
          <w:ilvl w:val="0"/>
          <w:numId w:val="1"/>
        </w:numPr>
        <w:rPr>
          <w:rFonts w:ascii="Sylfaen" w:hAnsi="Sylfaen"/>
        </w:rPr>
      </w:pPr>
      <w:r w:rsidRPr="00DE442D">
        <w:rPr>
          <w:rFonts w:ascii="Sylfaen" w:hAnsi="Sylfaen"/>
          <w:b/>
          <w:bCs/>
          <w:lang w:val="ka-GE"/>
        </w:rPr>
        <w:lastRenderedPageBreak/>
        <w:t xml:space="preserve"> </w:t>
      </w:r>
      <w:r w:rsidRPr="00DE442D">
        <w:rPr>
          <w:rFonts w:ascii="Sylfaen" w:hAnsi="Sylfaen"/>
          <w:b/>
          <w:bCs/>
          <w:lang w:val="ka-GE"/>
        </w:rPr>
        <w:t>დაბრუნებითი</w:t>
      </w:r>
      <w:r w:rsidRPr="00DE442D">
        <w:rPr>
          <w:rFonts w:ascii="Sylfaen" w:hAnsi="Sylfaen"/>
          <w:b/>
          <w:bCs/>
          <w:lang w:val="ka-GE"/>
        </w:rPr>
        <w:t xml:space="preserve"> </w:t>
      </w:r>
      <w:r w:rsidRPr="00DE442D">
        <w:rPr>
          <w:rFonts w:ascii="Sylfaen" w:hAnsi="Sylfaen"/>
          <w:b/>
          <w:bCs/>
          <w:lang w:val="ka-GE"/>
        </w:rPr>
        <w:t>რეფერალი</w:t>
      </w:r>
      <w:r w:rsidR="00DE442D">
        <w:rPr>
          <w:rFonts w:ascii="Sylfaen" w:hAnsi="Sylfaen"/>
          <w:b/>
          <w:bCs/>
          <w:lang w:val="ka-GE"/>
        </w:rPr>
        <w:t>;</w:t>
      </w:r>
    </w:p>
    <w:p w:rsidR="00000000" w:rsidRPr="00DE442D" w:rsidRDefault="000878EC" w:rsidP="00DE442D">
      <w:pPr>
        <w:pStyle w:val="ListParagraph"/>
        <w:numPr>
          <w:ilvl w:val="0"/>
          <w:numId w:val="1"/>
        </w:numPr>
        <w:rPr>
          <w:rFonts w:ascii="Sylfaen" w:hAnsi="Sylfaen"/>
        </w:rPr>
      </w:pPr>
      <w:r w:rsidRPr="00DE442D">
        <w:rPr>
          <w:rFonts w:ascii="Sylfaen" w:hAnsi="Sylfaen"/>
          <w:b/>
          <w:bCs/>
          <w:lang w:val="ka-GE"/>
        </w:rPr>
        <w:t xml:space="preserve"> </w:t>
      </w:r>
      <w:r w:rsidRPr="00DE442D">
        <w:rPr>
          <w:rFonts w:ascii="Sylfaen" w:hAnsi="Sylfaen"/>
          <w:b/>
          <w:bCs/>
          <w:lang w:val="ka-GE"/>
        </w:rPr>
        <w:t>ნეკროზული</w:t>
      </w:r>
      <w:r w:rsidRPr="00DE442D">
        <w:rPr>
          <w:rFonts w:ascii="Sylfaen" w:hAnsi="Sylfaen"/>
          <w:b/>
          <w:bCs/>
          <w:lang w:val="ka-GE"/>
        </w:rPr>
        <w:t xml:space="preserve"> </w:t>
      </w:r>
      <w:r w:rsidRPr="00DE442D">
        <w:rPr>
          <w:rFonts w:ascii="Sylfaen" w:hAnsi="Sylfaen"/>
          <w:b/>
          <w:bCs/>
          <w:lang w:val="ka-GE"/>
        </w:rPr>
        <w:t>ენტეროკოლიტი</w:t>
      </w:r>
      <w:r w:rsidRPr="00DE442D">
        <w:rPr>
          <w:rFonts w:ascii="Sylfaen" w:hAnsi="Sylfaen"/>
          <w:b/>
          <w:bCs/>
          <w:lang w:val="ka-GE"/>
        </w:rPr>
        <w:t xml:space="preserve"> </w:t>
      </w:r>
      <w:r w:rsidRPr="00DE442D">
        <w:rPr>
          <w:rFonts w:ascii="Sylfaen" w:hAnsi="Sylfaen"/>
          <w:b/>
          <w:bCs/>
          <w:lang w:val="ka-GE"/>
        </w:rPr>
        <w:t>ახალშობილებში</w:t>
      </w:r>
      <w:r w:rsidR="00DE442D">
        <w:rPr>
          <w:rFonts w:ascii="Sylfaen" w:hAnsi="Sylfaen"/>
          <w:b/>
          <w:bCs/>
          <w:lang w:val="ka-GE"/>
        </w:rPr>
        <w:t xml:space="preserve"> (ხელოვნური საკვების გართულება);</w:t>
      </w:r>
    </w:p>
    <w:p w:rsidR="00000000" w:rsidRPr="00DE442D" w:rsidRDefault="000878EC" w:rsidP="00DE442D">
      <w:pPr>
        <w:pStyle w:val="ListParagraph"/>
        <w:numPr>
          <w:ilvl w:val="0"/>
          <w:numId w:val="1"/>
        </w:numPr>
        <w:rPr>
          <w:rFonts w:ascii="Sylfaen" w:hAnsi="Sylfaen"/>
        </w:rPr>
      </w:pPr>
      <w:r w:rsidRPr="00DE442D">
        <w:rPr>
          <w:rFonts w:ascii="Sylfaen" w:hAnsi="Sylfaen"/>
          <w:b/>
          <w:bCs/>
          <w:lang w:val="ka-GE"/>
        </w:rPr>
        <w:t>დღენაკლული</w:t>
      </w:r>
      <w:r w:rsidRPr="00DE442D">
        <w:rPr>
          <w:rFonts w:ascii="Sylfaen" w:hAnsi="Sylfaen"/>
          <w:b/>
          <w:bCs/>
          <w:lang w:val="ka-GE"/>
        </w:rPr>
        <w:t xml:space="preserve"> </w:t>
      </w:r>
      <w:r w:rsidRPr="00DE442D">
        <w:rPr>
          <w:rFonts w:ascii="Sylfaen" w:hAnsi="Sylfaen"/>
          <w:b/>
          <w:bCs/>
          <w:lang w:val="ka-GE"/>
        </w:rPr>
        <w:t>ახალშობილთა</w:t>
      </w:r>
      <w:r w:rsidRPr="00DE442D">
        <w:rPr>
          <w:rFonts w:ascii="Sylfaen" w:hAnsi="Sylfaen"/>
          <w:b/>
          <w:bCs/>
          <w:lang w:val="ka-GE"/>
        </w:rPr>
        <w:t xml:space="preserve"> (</w:t>
      </w:r>
      <w:r w:rsidRPr="00DE442D">
        <w:rPr>
          <w:rFonts w:ascii="Sylfaen" w:hAnsi="Sylfaen"/>
          <w:b/>
          <w:bCs/>
          <w:lang w:val="ka-GE"/>
        </w:rPr>
        <w:t>გესტაციური</w:t>
      </w:r>
      <w:r w:rsidRPr="00DE442D">
        <w:rPr>
          <w:rFonts w:ascii="Sylfaen" w:hAnsi="Sylfaen"/>
          <w:b/>
          <w:bCs/>
          <w:lang w:val="ka-GE"/>
        </w:rPr>
        <w:t xml:space="preserve"> </w:t>
      </w:r>
      <w:r w:rsidRPr="00DE442D">
        <w:rPr>
          <w:rFonts w:ascii="Sylfaen" w:hAnsi="Sylfaen"/>
          <w:b/>
          <w:bCs/>
          <w:lang w:val="ka-GE"/>
        </w:rPr>
        <w:t>ასაკი</w:t>
      </w:r>
      <w:r w:rsidRPr="00DE442D">
        <w:rPr>
          <w:rFonts w:ascii="Sylfaen" w:hAnsi="Sylfaen"/>
          <w:b/>
          <w:bCs/>
          <w:lang w:val="ka-GE"/>
        </w:rPr>
        <w:t xml:space="preserve"> &lt;32 </w:t>
      </w:r>
      <w:r w:rsidRPr="00DE442D">
        <w:rPr>
          <w:rFonts w:ascii="Sylfaen" w:hAnsi="Sylfaen"/>
          <w:b/>
          <w:bCs/>
          <w:lang w:val="ka-GE"/>
        </w:rPr>
        <w:t>კვირა</w:t>
      </w:r>
      <w:r w:rsidRPr="00DE442D">
        <w:rPr>
          <w:rFonts w:ascii="Sylfaen" w:hAnsi="Sylfaen"/>
          <w:b/>
          <w:bCs/>
          <w:lang w:val="ka-GE"/>
        </w:rPr>
        <w:t xml:space="preserve">) </w:t>
      </w:r>
      <w:r w:rsidRPr="00DE442D">
        <w:rPr>
          <w:rFonts w:ascii="Sylfaen" w:hAnsi="Sylfaen"/>
          <w:b/>
          <w:bCs/>
          <w:lang w:val="ka-GE"/>
        </w:rPr>
        <w:t>პოსტნატალური</w:t>
      </w:r>
      <w:r w:rsidRPr="00DE442D">
        <w:rPr>
          <w:rFonts w:ascii="Sylfaen" w:hAnsi="Sylfaen"/>
          <w:b/>
          <w:bCs/>
          <w:lang w:val="ka-GE"/>
        </w:rPr>
        <w:t xml:space="preserve"> </w:t>
      </w:r>
      <w:r w:rsidRPr="00DE442D">
        <w:rPr>
          <w:rFonts w:ascii="Sylfaen" w:hAnsi="Sylfaen"/>
          <w:b/>
          <w:bCs/>
          <w:lang w:val="ka-GE"/>
        </w:rPr>
        <w:t>ზრდის</w:t>
      </w:r>
      <w:r w:rsidRPr="00DE442D">
        <w:rPr>
          <w:rFonts w:ascii="Sylfaen" w:hAnsi="Sylfaen"/>
          <w:b/>
          <w:bCs/>
          <w:lang w:val="ka-GE"/>
        </w:rPr>
        <w:t xml:space="preserve"> </w:t>
      </w:r>
      <w:r w:rsidRPr="00DE442D">
        <w:rPr>
          <w:rFonts w:ascii="Sylfaen" w:hAnsi="Sylfaen"/>
          <w:b/>
          <w:bCs/>
          <w:lang w:val="ka-GE"/>
        </w:rPr>
        <w:t>ტემპი</w:t>
      </w:r>
      <w:r w:rsidR="00DE442D">
        <w:rPr>
          <w:rFonts w:ascii="Sylfaen" w:hAnsi="Sylfaen"/>
          <w:b/>
          <w:bCs/>
          <w:lang w:val="ka-GE"/>
        </w:rPr>
        <w:t>.</w:t>
      </w:r>
    </w:p>
    <w:p w:rsidR="00DE442D" w:rsidRPr="00DE442D" w:rsidRDefault="00DE442D" w:rsidP="00DE442D">
      <w:pPr>
        <w:pStyle w:val="ListParagraph"/>
        <w:numPr>
          <w:ilvl w:val="0"/>
          <w:numId w:val="1"/>
        </w:numPr>
        <w:rPr>
          <w:rFonts w:ascii="Sylfaen" w:hAnsi="Sylfaen"/>
        </w:rPr>
      </w:pPr>
      <w:r>
        <w:rPr>
          <w:rFonts w:ascii="Sylfaen" w:hAnsi="Sylfaen"/>
          <w:b/>
          <w:bCs/>
          <w:lang w:val="ka-GE"/>
        </w:rPr>
        <w:t xml:space="preserve">ესაა ძირითადი ცამონათვალი, რასაც იყენებენ საერთაშორისო პრაქტიკაში </w:t>
      </w:r>
    </w:p>
    <w:p w:rsidR="00DE442D" w:rsidRPr="00502579" w:rsidRDefault="00DE442D" w:rsidP="00DE442D">
      <w:pPr>
        <w:pStyle w:val="ListParagraph"/>
        <w:rPr>
          <w:rFonts w:ascii="Sylfaen" w:hAnsi="Sylfaen"/>
          <w:lang w:val="ka-GE"/>
        </w:rPr>
      </w:pPr>
    </w:p>
    <w:p w:rsidR="00323341" w:rsidRDefault="00DE442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ისინი </w:t>
      </w:r>
      <w:r w:rsidR="007F1371">
        <w:rPr>
          <w:rFonts w:ascii="Sylfaen" w:hAnsi="Sylfaen"/>
          <w:lang w:val="ka-GE"/>
        </w:rPr>
        <w:t>უშუალოდ</w:t>
      </w:r>
      <w:r>
        <w:rPr>
          <w:rFonts w:ascii="Sylfaen" w:hAnsi="Sylfaen"/>
          <w:lang w:val="ka-GE"/>
        </w:rPr>
        <w:t xml:space="preserve"> სერვისის განხორციელების პროცესში </w:t>
      </w:r>
      <w:r w:rsidR="0050257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ზომავენ</w:t>
      </w:r>
      <w:r w:rsidR="00323341">
        <w:rPr>
          <w:rFonts w:ascii="Sylfaen" w:hAnsi="Sylfaen"/>
          <w:lang w:val="ka-GE"/>
        </w:rPr>
        <w:t xml:space="preserve"> პერინატალური სერვისის ხარისხს</w:t>
      </w:r>
      <w:r w:rsidR="00502579">
        <w:rPr>
          <w:rFonts w:ascii="Sylfaen" w:hAnsi="Sylfaen"/>
          <w:lang w:val="ka-GE"/>
        </w:rPr>
        <w:t xml:space="preserve">, </w:t>
      </w:r>
      <w:r w:rsidR="00323341">
        <w:rPr>
          <w:rFonts w:ascii="Sylfaen" w:hAnsi="Sylfaen"/>
          <w:lang w:val="ka-GE"/>
        </w:rPr>
        <w:t xml:space="preserve">ანალიზის საფუძველზე </w:t>
      </w:r>
      <w:r w:rsidR="00502579">
        <w:rPr>
          <w:rFonts w:ascii="Sylfaen" w:hAnsi="Sylfaen"/>
          <w:lang w:val="ka-GE"/>
        </w:rPr>
        <w:t>ყველა ქვეყანა ინდივიდუალურად გამოყოფს მუდმივად სამეთვალყურეო ინდიკატორებს, პრობლემის აღმოფხვრის შემდეგ, იცვლება სხვა ანალიზით. გამოკვეთილი ინდიკატორით ,</w:t>
      </w:r>
      <w:r w:rsidR="007F1371">
        <w:rPr>
          <w:rFonts w:ascii="Sylfaen" w:hAnsi="Sylfaen"/>
          <w:lang w:val="ka-GE"/>
        </w:rPr>
        <w:t xml:space="preserve"> </w:t>
      </w:r>
      <w:r w:rsidR="00502579">
        <w:rPr>
          <w:rFonts w:ascii="Sylfaen" w:hAnsi="Sylfaen"/>
          <w:lang w:val="ka-GE"/>
        </w:rPr>
        <w:t xml:space="preserve">რომელიც კონკრეტულ </w:t>
      </w:r>
      <w:r w:rsidR="007F1371">
        <w:rPr>
          <w:rFonts w:ascii="Sylfaen" w:hAnsi="Sylfaen"/>
          <w:lang w:val="ka-GE"/>
        </w:rPr>
        <w:t>გამოწვევა</w:t>
      </w:r>
      <w:r w:rsidR="00502579">
        <w:rPr>
          <w:rFonts w:ascii="Sylfaen" w:hAnsi="Sylfaen"/>
          <w:lang w:val="ka-GE"/>
        </w:rPr>
        <w:t>ზეა მორგებული.  დასაწყისში ფართოვდება და ზუსტდება რეგულაციები, რათა დინამიკაში გაუმჯობესდეს  შედეგის ინდიკატორები..</w:t>
      </w:r>
    </w:p>
    <w:p w:rsidR="00502579" w:rsidRDefault="0050257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პერინატალური რეგიონალიზააციის შედეგის ინდიკატორებია დედათა სიკვდილობა, მკვდრადშობადობა, </w:t>
      </w:r>
      <w:r w:rsidR="00AC3C32">
        <w:rPr>
          <w:rFonts w:ascii="Sylfaen" w:hAnsi="Sylfaen"/>
          <w:lang w:val="ka-GE"/>
        </w:rPr>
        <w:t>ადრ</w:t>
      </w:r>
      <w:r>
        <w:rPr>
          <w:rFonts w:ascii="Sylfaen" w:hAnsi="Sylfaen"/>
          <w:lang w:val="ka-GE"/>
        </w:rPr>
        <w:t>ეული და</w:t>
      </w:r>
      <w:r w:rsidR="00AC3C3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გვიანი მეონატალური </w:t>
      </w:r>
      <w:r w:rsidR="00AC3C32">
        <w:rPr>
          <w:rFonts w:ascii="Sylfaen" w:hAnsi="Sylfaen"/>
          <w:lang w:val="ka-GE"/>
        </w:rPr>
        <w:t>სუკვდილ</w:t>
      </w:r>
      <w:r>
        <w:rPr>
          <w:rFonts w:ascii="Sylfaen" w:hAnsi="Sylfaen"/>
          <w:lang w:val="ka-GE"/>
        </w:rPr>
        <w:t>იანობა.</w:t>
      </w:r>
    </w:p>
    <w:p w:rsidR="00DE442D" w:rsidRDefault="00DE442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2018 წლის ანალიზით: პაციენტთა 90% მეტი დონის შესაბამისად მიდის სტაციონარში</w:t>
      </w:r>
      <w:r w:rsidR="006A4BBC">
        <w:rPr>
          <w:rFonts w:ascii="Sylfaen" w:hAnsi="Sylfaen"/>
          <w:lang w:val="ka-GE"/>
        </w:rPr>
        <w:t>(ეს ინდიკატორი საერთაშორისო სტანდარტის შესაბამისია-90% სამიზნე მაჩვენებელი)</w:t>
      </w:r>
      <w:r>
        <w:rPr>
          <w:rFonts w:ascii="Sylfaen" w:hAnsi="Sylfaen"/>
          <w:lang w:val="ka-GE"/>
        </w:rPr>
        <w:t>,</w:t>
      </w:r>
    </w:p>
    <w:p w:rsidR="006A4BBC" w:rsidRDefault="006A4BB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დღენაკლულობა ასევე  არაა ჩვენი ქვეყნის პრობლემა, არ სცილდება 8%-ს, სასუალო ევროპული მაჩვენებელი 15%-მდეა.</w:t>
      </w:r>
    </w:p>
    <w:p w:rsidR="00DE442D" w:rsidRDefault="006A4BB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ასეთი მონაცემების პირობებში </w:t>
      </w:r>
      <w:r w:rsidR="00DE442D">
        <w:rPr>
          <w:rFonts w:ascii="Sylfaen" w:hAnsi="Sylfaen"/>
          <w:lang w:val="ka-GE"/>
        </w:rPr>
        <w:t>შესაბამისად, თუ სერვისის მიმწოდებელი დონის შსაბამის</w:t>
      </w:r>
      <w:r>
        <w:rPr>
          <w:rFonts w:ascii="Sylfaen" w:hAnsi="Sylfaen"/>
          <w:lang w:val="ka-GE"/>
        </w:rPr>
        <w:t xml:space="preserve"> </w:t>
      </w:r>
      <w:r w:rsidR="00DE442D">
        <w:rPr>
          <w:rFonts w:ascii="Sylfaen" w:hAnsi="Sylfaen"/>
          <w:lang w:val="ka-GE"/>
        </w:rPr>
        <w:t>ხარისხ</w:t>
      </w:r>
      <w:r>
        <w:rPr>
          <w:rFonts w:ascii="Sylfaen" w:hAnsi="Sylfaen"/>
          <w:lang w:val="ka-GE"/>
        </w:rPr>
        <w:t>იან  მომსახურებას ახორციელებს</w:t>
      </w:r>
      <w:r w:rsidR="00DE442D">
        <w:rPr>
          <w:rFonts w:ascii="Sylfaen" w:hAnsi="Sylfaen"/>
          <w:lang w:val="ka-GE"/>
        </w:rPr>
        <w:t xml:space="preserve">, არ უნდა იყოს მაღალი რეფერალი და </w:t>
      </w:r>
      <w:r>
        <w:rPr>
          <w:rFonts w:ascii="Sylfaen" w:hAnsi="Sylfaen"/>
          <w:lang w:val="ka-GE"/>
        </w:rPr>
        <w:t>უნდა შემცირდეს შედეგის ინდიკატორები.</w:t>
      </w:r>
    </w:p>
    <w:p w:rsidR="00AC3C32" w:rsidRPr="00AC3C32" w:rsidRDefault="00AC3C32">
      <w:pPr>
        <w:rPr>
          <w:rFonts w:ascii="Sylfaen" w:hAnsi="Sylfaen"/>
          <w:b/>
          <w:lang w:val="ka-GE"/>
        </w:rPr>
      </w:pPr>
      <w:r w:rsidRPr="00AC3C32">
        <w:rPr>
          <w:rFonts w:ascii="Sylfaen" w:hAnsi="Sylfaen"/>
          <w:b/>
          <w:lang w:val="ka-GE"/>
        </w:rPr>
        <w:t>გამოწვევები:</w:t>
      </w:r>
    </w:p>
    <w:p w:rsidR="00AC3C32" w:rsidRDefault="006A4BBC" w:rsidP="00AC3C32">
      <w:pPr>
        <w:jc w:val="both"/>
        <w:rPr>
          <w:rFonts w:ascii="Sylfaen" w:hAnsi="Sylfaen"/>
          <w:lang w:val="ka-GE"/>
        </w:rPr>
      </w:pPr>
      <w:r w:rsidRPr="00AC3C32">
        <w:rPr>
          <w:rFonts w:ascii="Sylfaen" w:hAnsi="Sylfaen" w:cs="Sylfaen"/>
          <w:lang w:val="ka-GE"/>
        </w:rPr>
        <w:t>ყურადრებას</w:t>
      </w:r>
      <w:r w:rsidRPr="00AC3C32">
        <w:rPr>
          <w:rFonts w:ascii="Sylfaen" w:hAnsi="Sylfaen"/>
          <w:lang w:val="ka-GE"/>
        </w:rPr>
        <w:t xml:space="preserve"> იპყრობს მაღალი საკეისრო კვეთების მაჩვენებელი</w:t>
      </w:r>
      <w:r w:rsidR="00F1406E" w:rsidRPr="00AC3C32">
        <w:rPr>
          <w:rFonts w:ascii="Sylfaen" w:hAnsi="Sylfaen"/>
          <w:lang w:val="ka-GE"/>
        </w:rPr>
        <w:t xml:space="preserve"> 2017</w:t>
      </w:r>
      <w:r w:rsidRPr="00AC3C32">
        <w:rPr>
          <w:rFonts w:ascii="Sylfaen" w:hAnsi="Sylfaen"/>
          <w:lang w:val="ka-GE"/>
        </w:rPr>
        <w:t>-44,5%, 2018-41,7%,  მიუხედავად კლების დინამიკისა მაღალი</w:t>
      </w:r>
      <w:r w:rsidR="00D17153" w:rsidRPr="00AC3C32">
        <w:rPr>
          <w:rFonts w:ascii="Sylfaen" w:hAnsi="Sylfaen"/>
          <w:lang w:val="ka-GE"/>
        </w:rPr>
        <w:t xml:space="preserve"> მ</w:t>
      </w:r>
      <w:r w:rsidRPr="00AC3C32">
        <w:rPr>
          <w:rFonts w:ascii="Sylfaen" w:hAnsi="Sylfaen"/>
          <w:lang w:val="ka-GE"/>
        </w:rPr>
        <w:t xml:space="preserve">აჩვენებელია, როგორც რეგიონალურ ასევე მსოფლიო მაჩვენებლებთან შედარებით, განსაკუთრრებულყურადღებას იწვევს  საკეისრო კვეთებში პირველი საკეისრო კვეთების წილი 49%, თითქმის ყოველი მე-2 ქალი იკვეთება, რაც შანსს შემდგომში საკეისრო კვეთების </w:t>
      </w:r>
      <w:r w:rsidR="00F1406E" w:rsidRPr="00AC3C32">
        <w:rPr>
          <w:rFonts w:ascii="Sylfaen" w:hAnsi="Sylfaen"/>
          <w:lang w:val="ka-GE"/>
        </w:rPr>
        <w:t>შ</w:t>
      </w:r>
      <w:r w:rsidRPr="00AC3C32">
        <w:rPr>
          <w:rFonts w:ascii="Sylfaen" w:hAnsi="Sylfaen"/>
          <w:lang w:val="ka-GE"/>
        </w:rPr>
        <w:t>ემცირებისა ამცირებს, რადგან ნაკეისრალ ქალების აბსოლუტურ უმრავლესობას, ისევ საკეისროს უკეთებენ, რადგან რთული და დიდად საპასუხისმგებლოა</w:t>
      </w:r>
      <w:r w:rsidR="00F1406E" w:rsidRPr="00AC3C32">
        <w:rPr>
          <w:rFonts w:ascii="Sylfaen" w:hAnsi="Sylfaen"/>
          <w:lang w:val="ka-GE"/>
        </w:rPr>
        <w:t>, მოითხოვს მეანის ძალიან მაღალ კვალიფიკაციას.</w:t>
      </w:r>
      <w:r w:rsidRPr="00AC3C32">
        <w:rPr>
          <w:rFonts w:ascii="Sylfaen" w:hAnsi="Sylfaen"/>
          <w:lang w:val="ka-GE"/>
        </w:rPr>
        <w:t xml:space="preserve"> მათი </w:t>
      </w:r>
      <w:r w:rsidR="00F1406E" w:rsidRPr="00AC3C32">
        <w:rPr>
          <w:rFonts w:ascii="Sylfaen" w:hAnsi="Sylfaen"/>
          <w:lang w:val="ka-GE"/>
        </w:rPr>
        <w:t>მშობიარობაშ</w:t>
      </w:r>
      <w:r w:rsidRPr="00AC3C32">
        <w:rPr>
          <w:rFonts w:ascii="Sylfaen" w:hAnsi="Sylfaen"/>
          <w:lang w:val="ka-GE"/>
        </w:rPr>
        <w:t>ი გაშვება.</w:t>
      </w:r>
      <w:r w:rsidR="00F1406E" w:rsidRPr="00AC3C32">
        <w:rPr>
          <w:rFonts w:ascii="Sylfaen" w:hAnsi="Sylfaen"/>
          <w:lang w:val="ka-GE"/>
        </w:rPr>
        <w:t>ამიტომ მთელ მსოფლიოში აღიარებული მიდგომაა რობსონის კლასიფიკაციით, რისკების გარეშე</w:t>
      </w:r>
      <w:r w:rsidR="00AC3C32">
        <w:rPr>
          <w:rFonts w:ascii="Sylfaen" w:hAnsi="Sylfaen"/>
          <w:lang w:val="ka-GE"/>
        </w:rPr>
        <w:t xml:space="preserve">, </w:t>
      </w:r>
      <w:r w:rsidR="00F1406E" w:rsidRPr="00AC3C32">
        <w:rPr>
          <w:rFonts w:ascii="Sylfaen" w:hAnsi="Sylfaen"/>
          <w:lang w:val="ka-GE"/>
        </w:rPr>
        <w:t xml:space="preserve"> საკეისრო კვეთების შემცირება, ანუ არ უნდა გაკეთდეს საკეისრო კვეთა</w:t>
      </w:r>
      <w:r w:rsidR="00AC3C32">
        <w:rPr>
          <w:rFonts w:ascii="Sylfaen" w:hAnsi="Sylfaen"/>
          <w:lang w:val="ka-GE"/>
        </w:rPr>
        <w:t>:</w:t>
      </w:r>
      <w:r w:rsidR="00F1406E" w:rsidRPr="00AC3C32">
        <w:rPr>
          <w:rFonts w:ascii="Sylfaen" w:hAnsi="Sylfaen"/>
          <w:lang w:val="ka-GE"/>
        </w:rPr>
        <w:t xml:space="preserve"> პირველმშობიარეებში, ნაყოფის კეფით წინ მდებარეობის, ერთნაყოფიანი ორსულობის და 37-38 კვირის ზემოთ ვადებზე, ასეთი შემთხვევა</w:t>
      </w:r>
      <w:r w:rsidR="00AC3C32">
        <w:rPr>
          <w:rFonts w:ascii="Sylfaen" w:hAnsi="Sylfaen"/>
          <w:lang w:val="ka-GE"/>
        </w:rPr>
        <w:t xml:space="preserve">ში </w:t>
      </w:r>
      <w:r w:rsidR="00F1406E" w:rsidRPr="00AC3C32">
        <w:rPr>
          <w:rFonts w:ascii="Sylfaen" w:hAnsi="Sylfaen"/>
          <w:lang w:val="ka-GE"/>
        </w:rPr>
        <w:t xml:space="preserve"> </w:t>
      </w:r>
      <w:r w:rsidR="00AC3C32">
        <w:rPr>
          <w:rFonts w:ascii="Sylfaen" w:hAnsi="Sylfaen"/>
          <w:lang w:val="ka-GE"/>
        </w:rPr>
        <w:t xml:space="preserve">საკეისროთა </w:t>
      </w:r>
      <w:r w:rsidR="00F1406E" w:rsidRPr="00AC3C32">
        <w:rPr>
          <w:rFonts w:ascii="Sylfaen" w:hAnsi="Sylfaen"/>
          <w:lang w:val="ka-GE"/>
        </w:rPr>
        <w:t xml:space="preserve">21,2 % </w:t>
      </w:r>
      <w:r w:rsidR="00AC3C32">
        <w:rPr>
          <w:rFonts w:ascii="Sylfaen" w:hAnsi="Sylfaen"/>
          <w:lang w:val="ka-GE"/>
        </w:rPr>
        <w:t xml:space="preserve">-ში </w:t>
      </w:r>
      <w:r w:rsidR="00F1406E" w:rsidRPr="00AC3C32">
        <w:rPr>
          <w:rFonts w:ascii="Sylfaen" w:hAnsi="Sylfaen"/>
          <w:lang w:val="ka-GE"/>
        </w:rPr>
        <w:t>გაკეთდა</w:t>
      </w:r>
      <w:r w:rsidR="00AC3C32">
        <w:rPr>
          <w:rFonts w:ascii="Sylfaen" w:hAnsi="Sylfaen"/>
          <w:lang w:val="ka-GE"/>
        </w:rPr>
        <w:t xml:space="preserve"> არასაჭირო ოპერაცია </w:t>
      </w:r>
      <w:r w:rsidR="00F1406E" w:rsidRPr="00AC3C32">
        <w:rPr>
          <w:rFonts w:ascii="Sylfaen" w:hAnsi="Sylfaen"/>
          <w:lang w:val="ka-GE"/>
        </w:rPr>
        <w:t xml:space="preserve"> 2018 წელს, ანუ ეს არის ის რეალური შუალედი, რისი შემცირებაც ყოველგვარი რისკების გარეშეა შესაძლებელი, სწორი რეგულაცის პირობებში.</w:t>
      </w:r>
      <w:r w:rsidR="00D17153" w:rsidRPr="00AC3C32">
        <w:rPr>
          <w:rFonts w:ascii="Sylfaen" w:hAnsi="Sylfaen"/>
          <w:lang w:val="ka-GE"/>
        </w:rPr>
        <w:t xml:space="preserve"> </w:t>
      </w:r>
    </w:p>
    <w:p w:rsidR="00D17153" w:rsidRPr="00AC3C32" w:rsidRDefault="00D17153" w:rsidP="00AC3C32">
      <w:pPr>
        <w:jc w:val="both"/>
        <w:rPr>
          <w:rFonts w:ascii="Sylfaen" w:hAnsi="Sylfaen"/>
          <w:lang w:val="ka-GE"/>
        </w:rPr>
      </w:pPr>
      <w:r w:rsidRPr="00AC3C32">
        <w:rPr>
          <w:rFonts w:ascii="Sylfaen" w:hAnsi="Sylfaen"/>
          <w:lang w:val="ka-GE"/>
        </w:rPr>
        <w:t>ძალიან მაღალია გადაუდებელ საკეითრო კვეთების რიცხვი, საშუალო ევროპული მაჩვენებელი 11%-ია, ხოლო ყველაზე მაღალი  პროცენტი 35%-ია, რაც ეჭვს ბადებს, რომ ჩვენი მონაცემი ასახავს რეალობას, ამ მონაცემის სისწორეს მსოფლიო ჯანდაცვის ორგანიზაცია  ზომავს კვირის დღეების მიხედვით საკეისრო კვეთების შეფასებით, ჩვენ შემთხვევა</w:t>
      </w:r>
      <w:r w:rsidR="00AC3C32">
        <w:rPr>
          <w:rFonts w:ascii="Sylfaen" w:hAnsi="Sylfaen"/>
          <w:lang w:val="ka-GE"/>
        </w:rPr>
        <w:t>შ</w:t>
      </w:r>
      <w:r w:rsidRPr="00AC3C32">
        <w:rPr>
          <w:rFonts w:ascii="Sylfaen" w:hAnsi="Sylfaen"/>
          <w:lang w:val="ka-GE"/>
        </w:rPr>
        <w:t xml:space="preserve">ი აღმოჩნდა,რომ ორშაბათიდან პარასკევამდე კეთედება საკეისროთა 80%. გადაუდებელ საკეისროთა </w:t>
      </w:r>
      <w:r w:rsidR="00AC3C32">
        <w:rPr>
          <w:rFonts w:ascii="Sylfaen" w:hAnsi="Sylfaen"/>
          <w:lang w:val="ka-GE"/>
        </w:rPr>
        <w:t>მაღ</w:t>
      </w:r>
      <w:r w:rsidRPr="00AC3C32">
        <w:rPr>
          <w:rFonts w:ascii="Sylfaen" w:hAnsi="Sylfaen"/>
          <w:lang w:val="ka-GE"/>
        </w:rPr>
        <w:t xml:space="preserve">ალი პროცენტი </w:t>
      </w:r>
      <w:r w:rsidR="00AC3C32">
        <w:rPr>
          <w:rFonts w:ascii="Sylfaen" w:hAnsi="Sylfaen"/>
          <w:lang w:val="ka-GE"/>
        </w:rPr>
        <w:t>განპირობე</w:t>
      </w:r>
      <w:r w:rsidRPr="00AC3C32">
        <w:rPr>
          <w:rFonts w:ascii="Sylfaen" w:hAnsi="Sylfaen"/>
          <w:lang w:val="ka-GE"/>
        </w:rPr>
        <w:t xml:space="preserve">ბულია ფინანსური მოტივაციით, </w:t>
      </w:r>
      <w:r w:rsidR="00AC3C32">
        <w:rPr>
          <w:rFonts w:ascii="Sylfaen" w:hAnsi="Sylfaen"/>
          <w:lang w:val="ka-GE"/>
        </w:rPr>
        <w:t>რათ</w:t>
      </w:r>
      <w:r w:rsidRPr="00AC3C32">
        <w:rPr>
          <w:rFonts w:ascii="Sylfaen" w:hAnsi="Sylfaen"/>
          <w:lang w:val="ka-GE"/>
        </w:rPr>
        <w:t>ა მინიმუმამდე შეამცირონ არა ჩვენებით საკეისროთა რაოდენობა.</w:t>
      </w:r>
    </w:p>
    <w:p w:rsidR="00D17153" w:rsidRDefault="00D1715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კიდევ ერთი მნიშვნელოვანი </w:t>
      </w:r>
      <w:r w:rsidR="007F1371">
        <w:rPr>
          <w:rFonts w:ascii="Sylfaen" w:hAnsi="Sylfaen"/>
          <w:lang w:val="ka-GE"/>
        </w:rPr>
        <w:t>გამო</w:t>
      </w:r>
      <w:r>
        <w:rPr>
          <w:rFonts w:ascii="Sylfaen" w:hAnsi="Sylfaen"/>
          <w:lang w:val="ka-GE"/>
        </w:rPr>
        <w:t>წვევა 39 კვირამდე საკეისრო კვეთების რიცხვი</w:t>
      </w:r>
      <w:r w:rsidR="007F1371">
        <w:rPr>
          <w:rFonts w:ascii="Sylfaen" w:hAnsi="Sylfaen"/>
          <w:lang w:val="ka-GE"/>
        </w:rPr>
        <w:t xml:space="preserve">, რაც 30% ზრდის ახალშობილთა რეფერალს </w:t>
      </w:r>
      <w:r w:rsidR="007F1371">
        <w:rPr>
          <w:rFonts w:ascii="Sylfaen" w:hAnsi="Sylfaen"/>
        </w:rPr>
        <w:t xml:space="preserve">NICU </w:t>
      </w:r>
      <w:r w:rsidR="007F1371">
        <w:rPr>
          <w:rFonts w:ascii="Sylfaen" w:hAnsi="Sylfaen"/>
          <w:lang w:val="ka-GE"/>
        </w:rPr>
        <w:t xml:space="preserve">განყოფილებაში, აუარესებს პერინატალურ გამოსავალს, ზრდის პერინატალურ დანახარჯს. ეს საკითხი 2010 წელს მოხვდა აშშ-ში განსაკუთრებული რეგულაციის </w:t>
      </w:r>
      <w:r w:rsidR="00AC3C32">
        <w:rPr>
          <w:rFonts w:ascii="Sylfaen" w:hAnsi="Sylfaen"/>
          <w:lang w:val="ka-GE"/>
        </w:rPr>
        <w:t>ქვეშ</w:t>
      </w:r>
      <w:r w:rsidR="007F1371">
        <w:rPr>
          <w:rFonts w:ascii="Sylfaen" w:hAnsi="Sylfaen"/>
          <w:lang w:val="ka-GE"/>
        </w:rPr>
        <w:t>, პირობად განისაზღვრა საკეისრო კვეთებში 25%-დე შემცირება</w:t>
      </w:r>
      <w:r w:rsidR="00AC3C32">
        <w:rPr>
          <w:rFonts w:ascii="Sylfaen" w:hAnsi="Sylfaen"/>
          <w:lang w:val="ka-GE"/>
        </w:rPr>
        <w:t>(ქვეყნის მასსტაბით საწყისი  მონაცემი 41%)</w:t>
      </w:r>
      <w:r w:rsidR="007F1371">
        <w:rPr>
          <w:rFonts w:ascii="Sylfaen" w:hAnsi="Sylfaen"/>
          <w:lang w:val="ka-GE"/>
        </w:rPr>
        <w:t xml:space="preserve">, ჩვენ შემთხვევაში 2017-18  </w:t>
      </w:r>
      <w:r w:rsidR="00AC3C32">
        <w:rPr>
          <w:rFonts w:ascii="Sylfaen" w:hAnsi="Sylfaen"/>
          <w:lang w:val="ka-GE"/>
        </w:rPr>
        <w:t xml:space="preserve">წლებში </w:t>
      </w:r>
      <w:r w:rsidR="007F1371">
        <w:rPr>
          <w:rFonts w:ascii="Sylfaen" w:hAnsi="Sylfaen"/>
          <w:lang w:val="ka-GE"/>
        </w:rPr>
        <w:t xml:space="preserve"> 39კვ</w:t>
      </w:r>
      <w:r w:rsidR="00AC3C32">
        <w:rPr>
          <w:rFonts w:ascii="Sylfaen" w:hAnsi="Sylfaen"/>
          <w:lang w:val="ka-GE"/>
        </w:rPr>
        <w:t>-მდე</w:t>
      </w:r>
      <w:r w:rsidR="007F1371">
        <w:rPr>
          <w:rFonts w:ascii="Sylfaen" w:hAnsi="Sylfaen"/>
          <w:lang w:val="ka-GE"/>
        </w:rPr>
        <w:t xml:space="preserve">. საკეისრო კვეთების პროცენტული წილი არ შეცვლილა და საკეისრო კვეთებში იყო 52%. სწორედ ერთ-ერთი მიზეზი ახალშობილთა </w:t>
      </w:r>
      <w:r w:rsidR="00AC3C32">
        <w:rPr>
          <w:rFonts w:ascii="Sylfaen" w:hAnsi="Sylfaen"/>
          <w:lang w:val="ka-GE"/>
        </w:rPr>
        <w:t xml:space="preserve">რეფერალის </w:t>
      </w:r>
      <w:r w:rsidR="007F1371">
        <w:rPr>
          <w:rFonts w:ascii="Sylfaen" w:hAnsi="Sylfaen"/>
          <w:lang w:val="ka-GE"/>
        </w:rPr>
        <w:t xml:space="preserve">უპრეცენდენტოდ </w:t>
      </w:r>
      <w:r w:rsidR="00AC3C32">
        <w:rPr>
          <w:rFonts w:ascii="Sylfaen" w:hAnsi="Sylfaen"/>
          <w:lang w:val="ka-GE"/>
        </w:rPr>
        <w:t>მაღ</w:t>
      </w:r>
      <w:r w:rsidR="007F1371">
        <w:rPr>
          <w:rFonts w:ascii="Sylfaen" w:hAnsi="Sylfaen"/>
          <w:lang w:val="ka-GE"/>
        </w:rPr>
        <w:t xml:space="preserve">ალი მაჩვენებლისა ეს გახლავთ, 3-ჯერ მეტი ახალშობილთა რეფერალი 2018 წელს  10, 2  საერთაშორისო მაჩვენებელი 3,5. </w:t>
      </w:r>
    </w:p>
    <w:p w:rsidR="00D038AE" w:rsidRDefault="00D038A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ამავე მოსაზრებას ამყარებს რეფერალების დიაგნოზებში აბსოლუტური უმრავლესობა დისტრესი. ანუ სუნთქვის პრობლემები.</w:t>
      </w:r>
    </w:p>
    <w:p w:rsidR="00AC3C32" w:rsidRPr="007F1371" w:rsidRDefault="00AC3C3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რაც პირდაპირ აისახა ფინანსურ ნაწილში და მიუხედავად თიღქმის 2500-ით შემცირებული მშობარობათა რაოდენობის მიუხედავად გაიზარდა ახალშობილთა რეფერალ და და ფინანსური დანახარჯი </w:t>
      </w:r>
      <w:r w:rsidRPr="00AC3C32">
        <w:rPr>
          <w:rFonts w:ascii="Sylfaen" w:hAnsi="Sylfaen"/>
          <w:lang w:val="ka-GE"/>
        </w:rPr>
        <w:t>NICU</w:t>
      </w:r>
      <w:r>
        <w:rPr>
          <w:rFonts w:ascii="Sylfaen" w:hAnsi="Sylfaen"/>
          <w:lang w:val="ka-GE"/>
        </w:rPr>
        <w:t xml:space="preserve"> სერვისზე.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1484"/>
        <w:gridCol w:w="1034"/>
        <w:gridCol w:w="1134"/>
        <w:gridCol w:w="850"/>
        <w:gridCol w:w="1418"/>
        <w:gridCol w:w="1417"/>
        <w:gridCol w:w="1604"/>
      </w:tblGrid>
      <w:tr w:rsidR="00D038AE" w:rsidTr="00D038A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</w:tcPr>
          <w:p w:rsidR="00D038AE" w:rsidRDefault="00D038AE" w:rsidP="00D038A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Row Labels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</w:tcPr>
          <w:p w:rsidR="00D038AE" w:rsidRDefault="00D038AE" w:rsidP="00D038A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Sum of 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</w:rPr>
              <w:t>მოთხოვნილი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</w:rPr>
              <w:t>თანხა</w:t>
            </w:r>
            <w:proofErr w:type="spellEnd"/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38AE" w:rsidRDefault="00D038AE" w:rsidP="00D038A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მშობიარობა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38AE" w:rsidRDefault="00D038AE" w:rsidP="00D038A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საკეისრო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38AE" w:rsidRDefault="00D038AE" w:rsidP="00D038A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სულ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38AE" w:rsidRDefault="00D038AE" w:rsidP="00D038AE">
            <w:pPr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Sylfaen" w:hAnsi="Sylfaen" w:cs="Sylfaen"/>
                <w:color w:val="000000"/>
              </w:rPr>
              <w:t>მშობიარობაში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მოთხ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>
              <w:rPr>
                <w:rFonts w:ascii="Sylfaen" w:hAnsi="Sylfaen" w:cs="Sylfaen"/>
                <w:color w:val="000000"/>
              </w:rPr>
              <w:t>თანხა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38AE" w:rsidRDefault="00D038AE" w:rsidP="00D038AE">
            <w:pPr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Sylfaen" w:hAnsi="Sylfaen" w:cs="Sylfaen"/>
                <w:color w:val="000000"/>
              </w:rPr>
              <w:t>საკეისროში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მოთხ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>
              <w:rPr>
                <w:rFonts w:ascii="Sylfaen" w:hAnsi="Sylfaen" w:cs="Sylfaen"/>
                <w:color w:val="000000"/>
              </w:rPr>
              <w:t>თანხა</w:t>
            </w:r>
            <w:proofErr w:type="spellEnd"/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38AE" w:rsidRDefault="00D038AE" w:rsidP="00D038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total</w:t>
            </w:r>
          </w:p>
        </w:tc>
      </w:tr>
      <w:tr w:rsidR="00D038AE" w:rsidTr="00D038AE"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38AE" w:rsidRDefault="00D038AE" w:rsidP="00D038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38AE" w:rsidRDefault="00D038AE" w:rsidP="00D038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        41,915,298.02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38AE" w:rsidRDefault="00D038AE" w:rsidP="00D038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29189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38AE" w:rsidRDefault="00D038AE" w:rsidP="00D038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23471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38AE" w:rsidRDefault="00D038AE" w:rsidP="00D038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52660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38AE" w:rsidRDefault="00D038AE" w:rsidP="00D038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14,594,500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38AE" w:rsidRDefault="00D038AE" w:rsidP="00D038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18,776,800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38AE" w:rsidRDefault="00D038AE" w:rsidP="00D038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75286598</w:t>
            </w:r>
          </w:p>
        </w:tc>
      </w:tr>
      <w:tr w:rsidR="00D038AE" w:rsidTr="00D038AE"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38AE" w:rsidRDefault="00D038AE" w:rsidP="00D038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38AE" w:rsidRDefault="00D038AE" w:rsidP="00D038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        44,321,408.92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38AE" w:rsidRDefault="00D038AE" w:rsidP="00D038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38AE" w:rsidRDefault="00D038AE" w:rsidP="00D038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38AE" w:rsidRDefault="00D038AE" w:rsidP="00D038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50468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38AE" w:rsidRDefault="00D038AE" w:rsidP="00D038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14,712,000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38AE" w:rsidRDefault="00D038AE" w:rsidP="00D038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16,835,200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38AE" w:rsidRDefault="00D038AE" w:rsidP="00D038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75868608</w:t>
            </w:r>
          </w:p>
        </w:tc>
      </w:tr>
      <w:tr w:rsidR="00D038AE" w:rsidTr="00D038AE"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38AE" w:rsidRDefault="00D038AE" w:rsidP="00D038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38AE" w:rsidRDefault="00D038AE" w:rsidP="00D038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        13,388,394.09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38AE" w:rsidRDefault="00D038AE" w:rsidP="00D038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38AE" w:rsidRDefault="00D038AE" w:rsidP="00D038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38AE" w:rsidRDefault="00D038AE" w:rsidP="00D038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38AE" w:rsidRDefault="00D038AE" w:rsidP="00D038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38AE" w:rsidRDefault="00D038AE" w:rsidP="00D038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38AE" w:rsidRDefault="00D038AE" w:rsidP="00D038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038AE" w:rsidTr="00D038A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</w:tcPr>
          <w:p w:rsidR="00D038AE" w:rsidRDefault="00D038AE" w:rsidP="00D038A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Grand Total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</w:tcPr>
          <w:p w:rsidR="00D038AE" w:rsidRDefault="00D038AE" w:rsidP="00D038A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                                        99,625,101.03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</w:tcPr>
          <w:p w:rsidR="00D038AE" w:rsidRDefault="00D038AE" w:rsidP="00D038A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</w:tcPr>
          <w:p w:rsidR="00D038AE" w:rsidRDefault="00D038AE" w:rsidP="00D038A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</w:tcPr>
          <w:p w:rsidR="00D038AE" w:rsidRDefault="00D038AE" w:rsidP="00D038A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</w:tcPr>
          <w:p w:rsidR="00D038AE" w:rsidRDefault="00D038AE" w:rsidP="00D038A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</w:tcPr>
          <w:p w:rsidR="00D038AE" w:rsidRDefault="00D038AE" w:rsidP="00D038A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</w:tcPr>
          <w:p w:rsidR="00D038AE" w:rsidRDefault="00D038AE" w:rsidP="00D038A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  151,155,206.00 </w:t>
            </w:r>
          </w:p>
        </w:tc>
      </w:tr>
    </w:tbl>
    <w:p w:rsidR="006A4BBC" w:rsidRDefault="006A4BBC">
      <w:pPr>
        <w:rPr>
          <w:rFonts w:ascii="Sylfaen" w:hAnsi="Sylfaen"/>
          <w:lang w:val="ka-GE"/>
        </w:rPr>
      </w:pPr>
    </w:p>
    <w:p w:rsidR="00D038AE" w:rsidRPr="00323341" w:rsidRDefault="000878E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განსაკუთრებულ ყურადღებას იპყრობს შემთხვევაზე დახარჯული თანხების მკვეთრად დიფერენცირებული მონაცემიკლინიკების , კერძოდ 2200 ლარიდან .</w:t>
      </w:r>
      <w:bookmarkStart w:id="0" w:name="_GoBack"/>
      <w:bookmarkEnd w:id="0"/>
      <w:r>
        <w:rPr>
          <w:rFonts w:ascii="Sylfaen" w:hAnsi="Sylfaen"/>
          <w:lang w:val="ka-GE"/>
        </w:rPr>
        <w:t>-დან მერყეობს 17500 ლარამდე</w:t>
      </w:r>
    </w:p>
    <w:sectPr w:rsidR="00D038AE" w:rsidRPr="0032334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67559"/>
    <w:multiLevelType w:val="hybridMultilevel"/>
    <w:tmpl w:val="708E95E0"/>
    <w:lvl w:ilvl="0" w:tplc="DF462A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1016F"/>
    <w:multiLevelType w:val="hybridMultilevel"/>
    <w:tmpl w:val="78B071A6"/>
    <w:lvl w:ilvl="0" w:tplc="805A96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E4CB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F243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96B2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82D8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B045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D05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CEE4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8E61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91102CF"/>
    <w:multiLevelType w:val="hybridMultilevel"/>
    <w:tmpl w:val="8AEA9D72"/>
    <w:lvl w:ilvl="0" w:tplc="DF462A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1A34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D8CE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BE42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FE4C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ACE2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34ED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AC5B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76DF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341"/>
    <w:rsid w:val="000878EC"/>
    <w:rsid w:val="00323341"/>
    <w:rsid w:val="00502579"/>
    <w:rsid w:val="006A4BBC"/>
    <w:rsid w:val="006C0D7B"/>
    <w:rsid w:val="007B7C15"/>
    <w:rsid w:val="007F1371"/>
    <w:rsid w:val="00AC3C32"/>
    <w:rsid w:val="00D038AE"/>
    <w:rsid w:val="00D17153"/>
    <w:rsid w:val="00DE442D"/>
    <w:rsid w:val="00F1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A58CFA-91DF-48DB-B320-2B3BDEADB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C1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C15"/>
    <w:pPr>
      <w:ind w:left="720"/>
      <w:contextualSpacing/>
    </w:pPr>
  </w:style>
  <w:style w:type="table" w:styleId="TableGrid">
    <w:name w:val="Table Grid"/>
    <w:basedOn w:val="TableNormal"/>
    <w:uiPriority w:val="39"/>
    <w:rsid w:val="00D03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353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409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42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916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840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8934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164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2791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308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244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154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0028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49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49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32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31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034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368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356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269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Baziari</dc:creator>
  <cp:keywords/>
  <dc:description/>
  <cp:lastModifiedBy>Vera Baziari</cp:lastModifiedBy>
  <cp:revision>2</cp:revision>
  <dcterms:created xsi:type="dcterms:W3CDTF">2019-06-06T10:07:00Z</dcterms:created>
  <dcterms:modified xsi:type="dcterms:W3CDTF">2019-06-06T12:55:00Z</dcterms:modified>
</cp:coreProperties>
</file>